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технічних та якісних характеристик закупівлі</w:t>
      </w:r>
      <w:r w:rsidR="0094122E">
        <w:t xml:space="preserve"> товару</w:t>
      </w:r>
      <w:r w:rsidRPr="009041A5">
        <w:t xml:space="preserve">,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F77B69">
        <w:t>32320000-2</w:t>
      </w:r>
      <w:r w:rsidR="00F77B69" w:rsidRPr="006458B6">
        <w:t xml:space="preserve"> – </w:t>
      </w:r>
      <w:r w:rsidR="00F77B69">
        <w:t>Телевізійне й аудіовізуальне обладнання</w:t>
      </w:r>
      <w:r w:rsidR="00F77B69">
        <w:rPr>
          <w:rFonts w:eastAsia="Arial"/>
          <w:color w:val="000000"/>
        </w:rPr>
        <w:t xml:space="preserve"> </w:t>
      </w:r>
      <w:r w:rsidR="00CA0B1F">
        <w:rPr>
          <w:rFonts w:eastAsia="Arial"/>
          <w:color w:val="000000"/>
        </w:rPr>
        <w:t>(</w:t>
      </w:r>
      <w:r w:rsidR="00F77B69">
        <w:t>комплект мультимедійного обладнання у складі: інтерактивна дошка і проектор) (або еквівалент)</w:t>
      </w:r>
      <w:r w:rsidR="00CA0B1F">
        <w:rPr>
          <w:rFonts w:eastAsia="Arial"/>
          <w:color w:val="000000"/>
        </w:rPr>
        <w:t>)</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F77B69" w:rsidP="00E606E0">
      <w:pPr>
        <w:jc w:val="both"/>
      </w:pPr>
      <w:r>
        <w:t>UA-2024-02-29</w:t>
      </w:r>
      <w:r w:rsidR="00E606E0" w:rsidRPr="009041A5">
        <w:t>-</w:t>
      </w:r>
      <w:r w:rsidR="006D6C70">
        <w:t>00</w:t>
      </w:r>
      <w:r w:rsidR="00553D45">
        <w:t>2788</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F77B69">
        <w:t>577809</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w:t>
      </w:r>
      <w:r w:rsidR="00B91694">
        <w:t>.</w:t>
      </w:r>
      <w:r w:rsidR="00A86066">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w:t>
      </w:r>
      <w:r w:rsidR="00B91694">
        <w:t>, розвантаження і монтаж</w:t>
      </w:r>
      <w:r>
        <w:t xml:space="preserve">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B91694">
        <w:t>577809</w:t>
      </w:r>
      <w:r>
        <w:t xml:space="preserve">,00 </w:t>
      </w:r>
      <w:r w:rsidRPr="009041A5">
        <w:t xml:space="preserve">грн. згідно з </w:t>
      </w:r>
      <w:r w:rsidR="00B91694">
        <w:t>розпорядженням від 06.02.2024р. №91-р «Про використання у 2024 році залишку освітньої субвенції з державного бюджету місцевим бюджетам (за спеціальним фондом державного бюджету), що утворився на початок року на закупівлю мультимедійного обладнання». Державний бюджет – 404647,00 грн. і місцевий бюджет – 173162,00 грн. (спів фінансування).</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B91694" w:rsidRPr="00B64810" w:rsidRDefault="00B91694" w:rsidP="00B91694">
      <w:pPr>
        <w:pStyle w:val="1"/>
        <w:spacing w:line="240" w:lineRule="auto"/>
        <w:jc w:val="both"/>
        <w:rPr>
          <w:rFonts w:ascii="Times New Roman" w:eastAsiaTheme="minorHAnsi" w:hAnsi="Times New Roman"/>
          <w:szCs w:val="24"/>
          <w:lang w:val="uk-UA" w:eastAsia="en-US"/>
        </w:rPr>
      </w:pPr>
      <w:r w:rsidRPr="00B64810">
        <w:rPr>
          <w:rFonts w:ascii="Times New Roman" w:eastAsiaTheme="minorHAnsi" w:hAnsi="Times New Roman"/>
          <w:szCs w:val="24"/>
          <w:lang w:val="uk-UA" w:eastAsia="en-US"/>
        </w:rPr>
        <w:lastRenderedPageBreak/>
        <w:t>З метою впровадження новітніх технологій в освітньому процесі, що мають відповідати вимогам часу, сучасному стану та тенденціям розвитку інформатизації замовник має право встановлювати покращені технічні характеристики для закуповуваного товару, які не гірші за встановлені характеристики  у наказі МОН від 29.04.2020р. №574.</w:t>
      </w:r>
    </w:p>
    <w:p w:rsidR="00B91694" w:rsidRPr="00B64810" w:rsidRDefault="00B91694" w:rsidP="00B91694">
      <w:pPr>
        <w:pStyle w:val="1"/>
        <w:spacing w:line="240" w:lineRule="auto"/>
        <w:jc w:val="both"/>
        <w:rPr>
          <w:rFonts w:ascii="Times New Roman" w:hAnsi="Times New Roman"/>
          <w:szCs w:val="24"/>
          <w:lang w:val="uk-UA"/>
        </w:rPr>
      </w:pPr>
      <w:r w:rsidRPr="00B64810">
        <w:rPr>
          <w:rFonts w:ascii="Times New Roman" w:eastAsiaTheme="minorHAnsi" w:hAnsi="Times New Roman"/>
          <w:szCs w:val="24"/>
          <w:lang w:val="uk-UA" w:eastAsia="en-US"/>
        </w:rPr>
        <w:t>Учасник має чітко зазначити найменування, технічні характеристики, модель та виробника запропонованого Товару.</w:t>
      </w:r>
    </w:p>
    <w:p w:rsidR="00B91694" w:rsidRPr="00B91694" w:rsidRDefault="00B91694" w:rsidP="00B91694">
      <w:pPr>
        <w:pStyle w:val="a4"/>
        <w:tabs>
          <w:tab w:val="left" w:pos="2460"/>
        </w:tabs>
        <w:spacing w:line="240" w:lineRule="auto"/>
        <w:ind w:left="0"/>
        <w:jc w:val="both"/>
        <w:rPr>
          <w:rFonts w:ascii="Times New Roman" w:hAnsi="Times New Roman"/>
          <w:bCs/>
          <w:iCs/>
          <w:szCs w:val="24"/>
          <w:highlight w:val="white"/>
          <w:lang w:val="uk-UA"/>
        </w:rPr>
      </w:pPr>
      <w:r w:rsidRPr="00B91694">
        <w:rPr>
          <w:rFonts w:ascii="Times New Roman" w:hAnsi="Times New Roman"/>
          <w:bCs/>
          <w:iCs/>
          <w:szCs w:val="24"/>
          <w:shd w:val="clear" w:color="auto" w:fill="FFFFFF"/>
          <w:lang w:val="uk-UA"/>
        </w:rPr>
        <w:t xml:space="preserve">Товар повинен відповідати  вимогам: </w:t>
      </w:r>
    </w:p>
    <w:p w:rsidR="00B91694" w:rsidRPr="00B64810" w:rsidRDefault="00B91694" w:rsidP="00B91694">
      <w:pPr>
        <w:pStyle w:val="a4"/>
        <w:numPr>
          <w:ilvl w:val="0"/>
          <w:numId w:val="1"/>
        </w:numPr>
        <w:spacing w:line="240" w:lineRule="auto"/>
        <w:ind w:right="15"/>
        <w:rPr>
          <w:rFonts w:ascii="Times New Roman" w:hAnsi="Times New Roman"/>
          <w:szCs w:val="24"/>
          <w:lang w:val="uk-UA"/>
        </w:rPr>
      </w:pPr>
      <w:r w:rsidRPr="00B64810">
        <w:rPr>
          <w:rFonts w:ascii="Times New Roman" w:hAnsi="Times New Roman"/>
          <w:szCs w:val="24"/>
          <w:lang w:val="uk-UA"/>
        </w:rPr>
        <w:t>Технічній документації;</w:t>
      </w:r>
    </w:p>
    <w:p w:rsidR="00B91694" w:rsidRPr="00B64810" w:rsidRDefault="00B91694" w:rsidP="00B91694">
      <w:pPr>
        <w:pStyle w:val="a4"/>
        <w:numPr>
          <w:ilvl w:val="0"/>
          <w:numId w:val="1"/>
        </w:numPr>
        <w:spacing w:line="240" w:lineRule="auto"/>
        <w:ind w:right="15"/>
        <w:rPr>
          <w:rFonts w:ascii="Times New Roman" w:hAnsi="Times New Roman"/>
          <w:szCs w:val="24"/>
          <w:lang w:val="uk-UA"/>
        </w:rPr>
      </w:pPr>
      <w:r w:rsidRPr="00B64810">
        <w:rPr>
          <w:rFonts w:ascii="Times New Roman" w:hAnsi="Times New Roman"/>
          <w:szCs w:val="24"/>
          <w:lang w:val="uk-UA"/>
        </w:rPr>
        <w:t xml:space="preserve"> діючим на території України ДСТУ, ТУ;</w:t>
      </w:r>
    </w:p>
    <w:p w:rsidR="00B91694" w:rsidRPr="00B64810" w:rsidRDefault="00B91694" w:rsidP="00B91694">
      <w:pPr>
        <w:pStyle w:val="a4"/>
        <w:numPr>
          <w:ilvl w:val="0"/>
          <w:numId w:val="1"/>
        </w:numPr>
        <w:spacing w:line="240" w:lineRule="auto"/>
        <w:ind w:right="15"/>
        <w:rPr>
          <w:rFonts w:ascii="Times New Roman" w:hAnsi="Times New Roman"/>
          <w:szCs w:val="24"/>
          <w:lang w:val="uk-UA"/>
        </w:rPr>
      </w:pPr>
      <w:r w:rsidRPr="00B64810">
        <w:rPr>
          <w:rFonts w:ascii="Times New Roman" w:hAnsi="Times New Roman"/>
          <w:szCs w:val="24"/>
          <w:lang w:val="uk-UA"/>
        </w:rPr>
        <w:t xml:space="preserve"> вимогам до якості</w:t>
      </w:r>
      <w:r w:rsidRPr="00B64810">
        <w:rPr>
          <w:rFonts w:ascii="Times New Roman" w:hAnsi="Times New Roman"/>
          <w:spacing w:val="-6"/>
          <w:szCs w:val="24"/>
          <w:lang w:val="uk-UA"/>
        </w:rPr>
        <w:t xml:space="preserve">, </w:t>
      </w:r>
      <w:r w:rsidRPr="00B64810">
        <w:rPr>
          <w:rFonts w:ascii="Times New Roman" w:hAnsi="Times New Roman"/>
          <w:szCs w:val="24"/>
          <w:lang w:val="uk-UA"/>
        </w:rPr>
        <w:t>встановленим чинним законодавством до товару даного виду</w:t>
      </w:r>
      <w:r w:rsidRPr="00B64810">
        <w:rPr>
          <w:rFonts w:ascii="Times New Roman" w:hAnsi="Times New Roman"/>
          <w:spacing w:val="-6"/>
          <w:szCs w:val="24"/>
          <w:lang w:val="uk-UA"/>
        </w:rPr>
        <w:t xml:space="preserve"> (та/або міжнародним стандартам ISO/IEC)</w:t>
      </w:r>
    </w:p>
    <w:p w:rsidR="008567EF" w:rsidRDefault="008567EF" w:rsidP="008567EF">
      <w:pPr>
        <w:tabs>
          <w:tab w:val="left" w:pos="540"/>
        </w:tabs>
        <w:ind w:firstLine="540"/>
        <w:jc w:val="both"/>
      </w:pPr>
    </w:p>
    <w:p w:rsidR="00B91694" w:rsidRDefault="00917BEB" w:rsidP="00B91694">
      <w:pPr>
        <w:pStyle w:val="1"/>
        <w:spacing w:line="240" w:lineRule="auto"/>
        <w:contextualSpacing/>
        <w:jc w:val="both"/>
        <w:rPr>
          <w:rFonts w:ascii="Times New Roman" w:hAnsi="Times New Roman"/>
          <w:b/>
          <w:bCs/>
          <w:lang w:val="uk-UA"/>
        </w:rPr>
      </w:pPr>
      <w:r w:rsidRPr="00B91694">
        <w:rPr>
          <w:rFonts w:ascii="Times New Roman" w:hAnsi="Times New Roman"/>
          <w:b/>
          <w:bCs/>
          <w:lang w:val="uk-UA"/>
        </w:rPr>
        <w:t xml:space="preserve">Обґрунтування технічних характеристик. </w:t>
      </w:r>
    </w:p>
    <w:p w:rsidR="00B91694" w:rsidRPr="00B91694" w:rsidRDefault="00B91694" w:rsidP="00B91694">
      <w:pPr>
        <w:pStyle w:val="1"/>
        <w:spacing w:line="240" w:lineRule="auto"/>
        <w:contextualSpacing/>
        <w:jc w:val="both"/>
        <w:rPr>
          <w:rFonts w:ascii="Times New Roman" w:hAnsi="Times New Roman"/>
          <w:bCs/>
          <w:iCs/>
          <w:szCs w:val="24"/>
          <w:lang w:val="uk-UA"/>
        </w:rPr>
      </w:pPr>
      <w:r w:rsidRPr="00B91694">
        <w:rPr>
          <w:rFonts w:ascii="Times New Roman" w:hAnsi="Times New Roman"/>
          <w:szCs w:val="24"/>
          <w:lang w:val="uk-UA"/>
        </w:rPr>
        <w:t xml:space="preserve">1.1. </w:t>
      </w:r>
      <w:r w:rsidRPr="00B91694">
        <w:rPr>
          <w:rFonts w:ascii="Times New Roman" w:hAnsi="Times New Roman"/>
          <w:bCs/>
          <w:iCs/>
          <w:szCs w:val="24"/>
          <w:lang w:val="uk-UA"/>
        </w:rPr>
        <w:t xml:space="preserve">Ціни вказуються з урахуванням податків і зборів, що сплачуються або мають бути сплачені,  транспортних витрат, </w:t>
      </w:r>
      <w:proofErr w:type="spellStart"/>
      <w:r w:rsidRPr="00B91694">
        <w:rPr>
          <w:rFonts w:ascii="Times New Roman" w:hAnsi="Times New Roman"/>
          <w:bCs/>
          <w:iCs/>
          <w:szCs w:val="24"/>
          <w:lang w:val="uk-UA"/>
        </w:rPr>
        <w:t>навантажувально</w:t>
      </w:r>
      <w:proofErr w:type="spellEnd"/>
      <w:r w:rsidRPr="00B91694">
        <w:rPr>
          <w:rFonts w:ascii="Times New Roman" w:hAnsi="Times New Roman"/>
          <w:bCs/>
          <w:iCs/>
          <w:szCs w:val="24"/>
          <w:lang w:val="uk-UA"/>
        </w:rPr>
        <w:t xml:space="preserve"> – розвантажувальних та монтажних робіт. </w:t>
      </w:r>
    </w:p>
    <w:p w:rsidR="00B91694" w:rsidRPr="00B91694" w:rsidRDefault="00B91694" w:rsidP="00B91694">
      <w:pPr>
        <w:pStyle w:val="1"/>
        <w:spacing w:line="240" w:lineRule="auto"/>
        <w:contextualSpacing/>
        <w:jc w:val="both"/>
        <w:rPr>
          <w:rFonts w:ascii="Times New Roman" w:hAnsi="Times New Roman"/>
          <w:szCs w:val="24"/>
          <w:lang w:val="uk-UA"/>
        </w:rPr>
      </w:pPr>
      <w:r w:rsidRPr="00B91694">
        <w:rPr>
          <w:rFonts w:ascii="Times New Roman" w:hAnsi="Times New Roman"/>
          <w:szCs w:val="24"/>
          <w:lang w:val="uk-UA"/>
        </w:rPr>
        <w:t>1.2. Якість товару повинна повністю відповідати діючим в Україні державним стандартам та технічним умовами встановленим для кожного виду товару.</w:t>
      </w:r>
    </w:p>
    <w:p w:rsidR="00B91694" w:rsidRPr="00B91694" w:rsidRDefault="00B91694" w:rsidP="00B91694">
      <w:pPr>
        <w:pStyle w:val="1"/>
        <w:keepNext/>
        <w:keepLines/>
        <w:spacing w:line="240" w:lineRule="auto"/>
        <w:jc w:val="both"/>
        <w:rPr>
          <w:rFonts w:ascii="Times New Roman" w:hAnsi="Times New Roman"/>
          <w:bCs/>
          <w:iCs/>
          <w:szCs w:val="24"/>
          <w:lang w:val="uk-UA"/>
        </w:rPr>
      </w:pPr>
      <w:r w:rsidRPr="00B91694">
        <w:rPr>
          <w:rFonts w:ascii="Times New Roman" w:hAnsi="Times New Roman"/>
          <w:bCs/>
          <w:iCs/>
          <w:szCs w:val="24"/>
          <w:lang w:val="uk-UA"/>
        </w:rPr>
        <w:t xml:space="preserve">1.3. Тара та упаковка повинні бути виготовлені з матеріалів дозволених для використання в Україні. </w:t>
      </w:r>
    </w:p>
    <w:p w:rsidR="00B91694" w:rsidRPr="00B91694" w:rsidRDefault="00B91694" w:rsidP="00B91694">
      <w:pPr>
        <w:pStyle w:val="1"/>
        <w:tabs>
          <w:tab w:val="left" w:pos="142"/>
        </w:tabs>
        <w:spacing w:line="240" w:lineRule="auto"/>
        <w:jc w:val="both"/>
        <w:rPr>
          <w:rFonts w:ascii="Times New Roman" w:hAnsi="Times New Roman"/>
          <w:szCs w:val="24"/>
          <w:lang w:val="uk-UA"/>
        </w:rPr>
      </w:pPr>
      <w:r w:rsidRPr="00B91694">
        <w:rPr>
          <w:rFonts w:ascii="Times New Roman" w:hAnsi="Times New Roman"/>
          <w:szCs w:val="24"/>
          <w:lang w:val="uk-UA"/>
        </w:rPr>
        <w:t xml:space="preserve">1.4. Товар повинен бути новим. Учасник в складі пропозиції повинен надати 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 Запропонований товар повинні відповідати міжнародним стандартам </w:t>
      </w:r>
      <w:proofErr w:type="spellStart"/>
      <w:r w:rsidRPr="00B91694">
        <w:rPr>
          <w:rFonts w:ascii="Times New Roman" w:hAnsi="Times New Roman"/>
          <w:szCs w:val="24"/>
          <w:lang w:val="uk-UA"/>
        </w:rPr>
        <w:t>енергоефективності</w:t>
      </w:r>
      <w:proofErr w:type="spellEnd"/>
      <w:r w:rsidRPr="00B91694">
        <w:rPr>
          <w:rFonts w:ascii="Times New Roman" w:hAnsi="Times New Roman"/>
          <w:szCs w:val="24"/>
          <w:lang w:val="uk-UA"/>
        </w:rPr>
        <w:t xml:space="preserve"> споживчих товарів.</w:t>
      </w:r>
    </w:p>
    <w:p w:rsidR="00B91694" w:rsidRPr="00B91694" w:rsidRDefault="00B91694" w:rsidP="00B91694">
      <w:pPr>
        <w:pStyle w:val="1"/>
        <w:spacing w:line="240" w:lineRule="auto"/>
        <w:contextualSpacing/>
        <w:jc w:val="both"/>
        <w:rPr>
          <w:rFonts w:ascii="Times New Roman" w:hAnsi="Times New Roman"/>
          <w:szCs w:val="24"/>
          <w:lang w:val="uk-UA"/>
        </w:rPr>
      </w:pPr>
      <w:r w:rsidRPr="00B91694">
        <w:rPr>
          <w:rFonts w:ascii="Times New Roman" w:hAnsi="Times New Roman"/>
          <w:szCs w:val="24"/>
          <w:lang w:val="uk-UA"/>
        </w:rPr>
        <w:t xml:space="preserve">1.5. Всі основні компоненти товару повинні бути оригінальними, заміна компонентів на не неоригінальні забороняється. </w:t>
      </w:r>
    </w:p>
    <w:p w:rsidR="00B91694" w:rsidRPr="00B91694" w:rsidRDefault="00B91694" w:rsidP="00B91694">
      <w:pPr>
        <w:pStyle w:val="1"/>
        <w:spacing w:line="240" w:lineRule="auto"/>
        <w:contextualSpacing/>
        <w:jc w:val="both"/>
        <w:rPr>
          <w:rFonts w:ascii="Times New Roman" w:hAnsi="Times New Roman"/>
          <w:szCs w:val="24"/>
          <w:lang w:val="uk-UA"/>
        </w:rPr>
      </w:pPr>
      <w:r w:rsidRPr="00B91694">
        <w:rPr>
          <w:rFonts w:ascii="Times New Roman" w:hAnsi="Times New Roman"/>
          <w:szCs w:val="24"/>
          <w:lang w:val="uk-UA"/>
        </w:rPr>
        <w:t>1.6. При підготовці тендерної пропозиції учасники повинні чітко зазначати найменування Товару (тип, марка і т.д.), що пропонується для постачання.</w:t>
      </w:r>
    </w:p>
    <w:p w:rsidR="00B91694" w:rsidRPr="00B91694" w:rsidRDefault="00B91694" w:rsidP="00B91694">
      <w:pPr>
        <w:pStyle w:val="1"/>
        <w:tabs>
          <w:tab w:val="left" w:pos="709"/>
        </w:tabs>
        <w:spacing w:line="240" w:lineRule="auto"/>
        <w:jc w:val="both"/>
        <w:rPr>
          <w:rFonts w:ascii="Times New Roman" w:hAnsi="Times New Roman"/>
          <w:b/>
          <w:i/>
          <w:szCs w:val="24"/>
          <w:lang w:val="uk-UA"/>
        </w:rPr>
      </w:pPr>
      <w:r w:rsidRPr="00B91694">
        <w:rPr>
          <w:rFonts w:ascii="Times New Roman" w:hAnsi="Times New Roman"/>
          <w:szCs w:val="24"/>
          <w:lang w:val="uk-UA"/>
        </w:rPr>
        <w:t>1.7. Транспортні послуги та інші витрати (пакування, встановлення, тощо) повинні здійснюватися за рахунок Продавця</w:t>
      </w:r>
      <w:r w:rsidRPr="00B91694">
        <w:rPr>
          <w:rFonts w:ascii="Times New Roman" w:hAnsi="Times New Roman"/>
          <w:color w:val="0070C0"/>
          <w:szCs w:val="24"/>
          <w:lang w:val="uk-UA"/>
        </w:rPr>
        <w:t xml:space="preserve"> </w:t>
      </w:r>
      <w:r w:rsidRPr="00B91694">
        <w:rPr>
          <w:rFonts w:ascii="Times New Roman" w:hAnsi="Times New Roman"/>
          <w:szCs w:val="24"/>
          <w:lang w:val="uk-UA"/>
        </w:rPr>
        <w:t>про що надається гарантійний лист. Поставка товару повинна здійснюватися комплектно, відповідно з пакувальними документами, із заповненими гарантійними паспортами або талонами, за рахунок Учасника.</w:t>
      </w:r>
    </w:p>
    <w:p w:rsidR="00B91694" w:rsidRPr="00B91694" w:rsidRDefault="00B91694" w:rsidP="00917BEB">
      <w:pPr>
        <w:jc w:val="both"/>
        <w:rPr>
          <w:b/>
          <w:bCs/>
        </w:rPr>
      </w:pPr>
    </w:p>
    <w:p w:rsidR="00E2768E" w:rsidRPr="00B91694" w:rsidRDefault="00917BEB" w:rsidP="001341ED">
      <w:pPr>
        <w:jc w:val="both"/>
      </w:pPr>
      <w:r w:rsidRPr="00B91694">
        <w:rPr>
          <w:b/>
          <w:bCs/>
        </w:rPr>
        <w:t>Обґрунтування якісних характеристик.</w:t>
      </w:r>
      <w:r w:rsidRPr="00B91694">
        <w:t xml:space="preserve"> </w:t>
      </w:r>
    </w:p>
    <w:p w:rsidR="00B91694" w:rsidRPr="00B91694" w:rsidRDefault="00B91694" w:rsidP="00B91694">
      <w:pPr>
        <w:pStyle w:val="1"/>
        <w:spacing w:line="240" w:lineRule="auto"/>
        <w:jc w:val="both"/>
        <w:rPr>
          <w:rFonts w:ascii="Times New Roman" w:hAnsi="Times New Roman"/>
          <w:szCs w:val="24"/>
          <w:lang w:val="uk-UA"/>
        </w:rPr>
      </w:pPr>
      <w:r w:rsidRPr="00B91694">
        <w:rPr>
          <w:rFonts w:ascii="Times New Roman" w:hAnsi="Times New Roman"/>
          <w:szCs w:val="24"/>
          <w:lang w:val="uk-UA"/>
        </w:rPr>
        <w:t>2. Наявність документації, яка підтверджує якість (відповідність).</w:t>
      </w:r>
    </w:p>
    <w:p w:rsidR="00B91694" w:rsidRPr="00B91694" w:rsidRDefault="00B91694" w:rsidP="00B91694">
      <w:pPr>
        <w:pStyle w:val="1"/>
        <w:spacing w:line="240" w:lineRule="auto"/>
        <w:jc w:val="both"/>
        <w:rPr>
          <w:rFonts w:ascii="Times New Roman" w:hAnsi="Times New Roman"/>
          <w:szCs w:val="24"/>
          <w:lang w:val="uk-UA"/>
        </w:rPr>
      </w:pPr>
      <w:r w:rsidRPr="00B91694">
        <w:rPr>
          <w:rFonts w:ascii="Times New Roman" w:hAnsi="Times New Roman"/>
          <w:szCs w:val="24"/>
          <w:lang w:val="uk-UA"/>
        </w:rPr>
        <w:t xml:space="preserve">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згідно Таблиці (обов‘язково зазначається виробник, модель, артикул, </w:t>
      </w:r>
      <w:bookmarkStart w:id="1" w:name="_Hlk75450299"/>
      <w:r w:rsidRPr="00B91694">
        <w:rPr>
          <w:rFonts w:ascii="Times New Roman" w:hAnsi="Times New Roman"/>
          <w:szCs w:val="24"/>
          <w:lang w:val="uk-UA"/>
        </w:rPr>
        <w:t xml:space="preserve">посилання на сайт виробника </w:t>
      </w:r>
      <w:bookmarkEnd w:id="1"/>
      <w:r w:rsidRPr="00B91694">
        <w:rPr>
          <w:rFonts w:ascii="Times New Roman" w:hAnsi="Times New Roman"/>
          <w:szCs w:val="24"/>
          <w:lang w:val="uk-UA"/>
        </w:rPr>
        <w:t>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w:t>
      </w:r>
    </w:p>
    <w:p w:rsidR="00B91694" w:rsidRPr="00B91694" w:rsidRDefault="00B91694" w:rsidP="00B91694">
      <w:pPr>
        <w:pStyle w:val="1"/>
        <w:spacing w:line="240" w:lineRule="auto"/>
        <w:contextualSpacing/>
        <w:jc w:val="both"/>
        <w:rPr>
          <w:rStyle w:val="a5"/>
          <w:rFonts w:ascii="Times New Roman" w:hAnsi="Times New Roman"/>
          <w:szCs w:val="24"/>
          <w:lang w:val="uk-UA"/>
        </w:rPr>
      </w:pPr>
      <w:r w:rsidRPr="00B91694">
        <w:rPr>
          <w:rFonts w:ascii="Times New Roman" w:eastAsia="Calibri" w:hAnsi="Times New Roman"/>
          <w:szCs w:val="24"/>
          <w:lang w:val="uk-UA"/>
        </w:rPr>
        <w:t xml:space="preserve">3. </w:t>
      </w:r>
      <w:r w:rsidRPr="00B91694">
        <w:rPr>
          <w:rFonts w:ascii="Times New Roman" w:hAnsi="Times New Roman"/>
          <w:szCs w:val="24"/>
          <w:lang w:val="uk-UA"/>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наявним вираз  «або еквівалент».</w:t>
      </w:r>
      <w:r w:rsidRPr="00B91694">
        <w:rPr>
          <w:rStyle w:val="a5"/>
          <w:rFonts w:ascii="Times New Roman" w:hAnsi="Times New Roman"/>
          <w:szCs w:val="24"/>
          <w:lang w:val="uk-UA"/>
        </w:rPr>
        <w:t xml:space="preserve"> Усі показники еквіваленту мають бути не гіршими.</w:t>
      </w:r>
    </w:p>
    <w:p w:rsidR="00B91694" w:rsidRPr="00B91694" w:rsidRDefault="00B91694" w:rsidP="00B91694">
      <w:pPr>
        <w:pStyle w:val="1"/>
        <w:spacing w:line="240" w:lineRule="auto"/>
        <w:jc w:val="both"/>
        <w:rPr>
          <w:rFonts w:ascii="Times New Roman" w:eastAsia="CIDFont+F2" w:hAnsi="Times New Roman"/>
          <w:szCs w:val="24"/>
          <w:lang w:val="uk-UA"/>
        </w:rPr>
      </w:pPr>
      <w:r w:rsidRPr="00B91694">
        <w:rPr>
          <w:rStyle w:val="a5"/>
          <w:rFonts w:ascii="Times New Roman" w:hAnsi="Times New Roman"/>
          <w:szCs w:val="24"/>
          <w:lang w:val="uk-UA"/>
        </w:rPr>
        <w:t xml:space="preserve">4. </w:t>
      </w:r>
      <w:r w:rsidRPr="00B91694">
        <w:rPr>
          <w:rFonts w:ascii="Times New Roman" w:eastAsia="CIDFont+F2" w:hAnsi="Times New Roman"/>
          <w:szCs w:val="24"/>
          <w:lang w:val="uk-UA"/>
        </w:rPr>
        <w:t>Строк поставки до 10 квітня 2024 року.</w:t>
      </w:r>
    </w:p>
    <w:p w:rsidR="00B91694" w:rsidRPr="00B91694" w:rsidRDefault="00B91694" w:rsidP="00B91694">
      <w:pPr>
        <w:pStyle w:val="1"/>
        <w:spacing w:line="240" w:lineRule="auto"/>
        <w:jc w:val="both"/>
        <w:rPr>
          <w:rFonts w:ascii="Times New Roman" w:eastAsia="CIDFont+F2" w:hAnsi="Times New Roman"/>
          <w:szCs w:val="24"/>
          <w:lang w:val="uk-UA"/>
        </w:rPr>
      </w:pPr>
      <w:r w:rsidRPr="00B91694">
        <w:rPr>
          <w:rFonts w:ascii="Times New Roman" w:eastAsia="CIDFont+F2" w:hAnsi="Times New Roman"/>
          <w:szCs w:val="24"/>
          <w:lang w:val="uk-UA"/>
        </w:rPr>
        <w:t>5. Кількість: 12 комплектів.</w:t>
      </w:r>
    </w:p>
    <w:p w:rsidR="00917BEB" w:rsidRPr="00B91694" w:rsidRDefault="00917BEB" w:rsidP="008567EF">
      <w:pPr>
        <w:jc w:val="both"/>
      </w:pPr>
    </w:p>
    <w:sectPr w:rsidR="00917BEB" w:rsidRPr="00B91694"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IDFont+F2">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F7343"/>
    <w:multiLevelType w:val="multilevel"/>
    <w:tmpl w:val="54500F8E"/>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06E0"/>
    <w:rsid w:val="00067A5F"/>
    <w:rsid w:val="000F5CF7"/>
    <w:rsid w:val="001341ED"/>
    <w:rsid w:val="00226F83"/>
    <w:rsid w:val="0027536D"/>
    <w:rsid w:val="002F7F8C"/>
    <w:rsid w:val="0030347A"/>
    <w:rsid w:val="00306B49"/>
    <w:rsid w:val="00374ED3"/>
    <w:rsid w:val="003E3DAA"/>
    <w:rsid w:val="00400BC9"/>
    <w:rsid w:val="00523775"/>
    <w:rsid w:val="00547F4D"/>
    <w:rsid w:val="00553D45"/>
    <w:rsid w:val="0057431B"/>
    <w:rsid w:val="00595B3D"/>
    <w:rsid w:val="005E6642"/>
    <w:rsid w:val="006B0E11"/>
    <w:rsid w:val="006B5BF4"/>
    <w:rsid w:val="006D6C70"/>
    <w:rsid w:val="00754A9E"/>
    <w:rsid w:val="008210F3"/>
    <w:rsid w:val="00830A30"/>
    <w:rsid w:val="00846E69"/>
    <w:rsid w:val="008567EF"/>
    <w:rsid w:val="00897740"/>
    <w:rsid w:val="009037CD"/>
    <w:rsid w:val="00917BEB"/>
    <w:rsid w:val="0094122E"/>
    <w:rsid w:val="00955EB3"/>
    <w:rsid w:val="00A07A3B"/>
    <w:rsid w:val="00A23A3D"/>
    <w:rsid w:val="00A65BF3"/>
    <w:rsid w:val="00A86066"/>
    <w:rsid w:val="00AB4A13"/>
    <w:rsid w:val="00B66BEB"/>
    <w:rsid w:val="00B91694"/>
    <w:rsid w:val="00BA359B"/>
    <w:rsid w:val="00C60D39"/>
    <w:rsid w:val="00C9050E"/>
    <w:rsid w:val="00C92793"/>
    <w:rsid w:val="00CA0B1F"/>
    <w:rsid w:val="00CF7F56"/>
    <w:rsid w:val="00D6114A"/>
    <w:rsid w:val="00E2768E"/>
    <w:rsid w:val="00E606E0"/>
    <w:rsid w:val="00F77B69"/>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 w:type="paragraph" w:customStyle="1" w:styleId="1">
    <w:name w:val="Обычный1"/>
    <w:uiPriority w:val="99"/>
    <w:qFormat/>
    <w:rsid w:val="00B91694"/>
    <w:pPr>
      <w:suppressAutoHyphens/>
      <w:spacing w:after="0"/>
    </w:pPr>
    <w:rPr>
      <w:rFonts w:ascii="Arial" w:eastAsia="Arial" w:hAnsi="Arial" w:cs="Times New Roman"/>
      <w:color w:val="000000"/>
      <w:sz w:val="24"/>
      <w:lang w:eastAsia="ru-RU"/>
    </w:rPr>
  </w:style>
  <w:style w:type="paragraph" w:styleId="a4">
    <w:name w:val="List Paragraph"/>
    <w:basedOn w:val="1"/>
    <w:uiPriority w:val="34"/>
    <w:qFormat/>
    <w:rsid w:val="00B91694"/>
    <w:pPr>
      <w:ind w:left="720"/>
      <w:contextualSpacing/>
    </w:pPr>
  </w:style>
  <w:style w:type="character" w:customStyle="1" w:styleId="a5">
    <w:name w:val="Нет"/>
    <w:qFormat/>
    <w:rsid w:val="00B916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 Windows</cp:lastModifiedBy>
  <cp:revision>25</cp:revision>
  <dcterms:created xsi:type="dcterms:W3CDTF">2023-11-14T08:27:00Z</dcterms:created>
  <dcterms:modified xsi:type="dcterms:W3CDTF">2024-02-29T09:09:00Z</dcterms:modified>
</cp:coreProperties>
</file>