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2D3A26">
        <w:rPr>
          <w:lang w:val="uk-UA"/>
        </w:rPr>
        <w:t>–</w:t>
      </w:r>
      <w:r w:rsidR="00997792">
        <w:rPr>
          <w:lang w:val="uk-UA"/>
        </w:rPr>
        <w:t xml:space="preserve"> </w:t>
      </w:r>
      <w:r w:rsidR="00FC2B95">
        <w:rPr>
          <w:rFonts w:eastAsia="Calibri"/>
          <w:b/>
          <w:lang w:val="uk-UA"/>
        </w:rPr>
        <w:t>соки плодово-ягідні та овочеві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FC2B95">
        <w:rPr>
          <w:rFonts w:eastAsia="Calibri"/>
          <w:b/>
          <w:lang w:val="uk-UA"/>
        </w:rPr>
        <w:t>15320000-7</w:t>
      </w:r>
      <w:r w:rsidR="000E697F" w:rsidRPr="00A03E41">
        <w:rPr>
          <w:rFonts w:eastAsia="Calibri"/>
          <w:b/>
          <w:lang w:val="uk-UA"/>
        </w:rPr>
        <w:t xml:space="preserve">  </w:t>
      </w:r>
      <w:r w:rsidR="00FC2B95">
        <w:rPr>
          <w:rStyle w:val="qaclassifierdescrcode"/>
          <w:b/>
          <w:lang w:val="uk-UA"/>
        </w:rPr>
        <w:t>Фруктові та овочеві соки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C720F5">
        <w:rPr>
          <w:lang w:val="uk-UA"/>
        </w:rPr>
        <w:t>два</w:t>
      </w:r>
      <w:r w:rsidR="002D3A26">
        <w:rPr>
          <w:lang w:val="uk-UA"/>
        </w:rPr>
        <w:t xml:space="preserve"> </w:t>
      </w:r>
      <w:r w:rsidR="002D3A26" w:rsidRPr="00E952D6">
        <w:rPr>
          <w:lang w:val="uk-UA"/>
        </w:rPr>
        <w:t>раз</w:t>
      </w:r>
      <w:r w:rsidR="00C720F5">
        <w:rPr>
          <w:lang w:val="uk-UA"/>
        </w:rPr>
        <w:t>и</w:t>
      </w:r>
      <w:r w:rsidR="002D3A26">
        <w:rPr>
          <w:lang w:val="uk-UA"/>
        </w:rPr>
        <w:t xml:space="preserve"> на тиждень</w:t>
      </w:r>
      <w:r w:rsidR="002D3A26"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5C0389" w:rsidRDefault="00FC2B95" w:rsidP="00101DD6">
            <w:pPr>
              <w:rPr>
                <w:szCs w:val="24"/>
                <w:lang w:val="uk-UA"/>
              </w:rPr>
            </w:pPr>
            <w:r>
              <w:rPr>
                <w:bCs/>
                <w:lang w:val="uk-UA"/>
              </w:rPr>
              <w:t>Соки плодово-ягідні та овочеві</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FC2B95" w:rsidP="00C3181F">
            <w:pPr>
              <w:tabs>
                <w:tab w:val="left" w:pos="0"/>
              </w:tabs>
              <w:rPr>
                <w:szCs w:val="24"/>
                <w:lang w:val="uk-UA"/>
              </w:rPr>
            </w:pPr>
            <w:r>
              <w:rPr>
                <w:szCs w:val="24"/>
                <w:lang w:val="uk-UA"/>
              </w:rPr>
              <w:t>4120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w:t>
            </w:r>
            <w:r w:rsidRPr="00683390">
              <w:rPr>
                <w:szCs w:val="24"/>
              </w:rPr>
              <w:lastRenderedPageBreak/>
              <w:t>область, 28054</w:t>
            </w:r>
          </w:p>
        </w:tc>
        <w:tc>
          <w:tcPr>
            <w:tcW w:w="1146" w:type="dxa"/>
          </w:tcPr>
          <w:p w:rsidR="001B2CED" w:rsidRPr="00437185" w:rsidRDefault="001B2CED" w:rsidP="00C44813">
            <w:pPr>
              <w:rPr>
                <w:szCs w:val="24"/>
                <w:lang w:val="uk-UA"/>
              </w:rPr>
            </w:pPr>
            <w:r w:rsidRPr="00437185">
              <w:rPr>
                <w:szCs w:val="24"/>
                <w:lang w:val="uk-UA"/>
              </w:rPr>
              <w:lastRenderedPageBreak/>
              <w:t>34</w:t>
            </w:r>
          </w:p>
        </w:tc>
      </w:tr>
      <w:tr w:rsidR="001B2CED" w:rsidRPr="00437185" w:rsidTr="00C44813">
        <w:tc>
          <w:tcPr>
            <w:tcW w:w="508" w:type="dxa"/>
            <w:gridSpan w:val="2"/>
          </w:tcPr>
          <w:p w:rsidR="001B2CED" w:rsidRPr="00683390" w:rsidRDefault="001B2CED" w:rsidP="00C44813">
            <w:pPr>
              <w:rPr>
                <w:szCs w:val="24"/>
              </w:rPr>
            </w:pPr>
            <w:r w:rsidRPr="00683390">
              <w:rPr>
                <w:szCs w:val="24"/>
              </w:rPr>
              <w:lastRenderedPageBreak/>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A3FA6"/>
    <w:rsid w:val="005C0389"/>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2B95"/>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0D561-8111-4373-8D4F-F1AE5B34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5382</Words>
  <Characters>30679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21</cp:revision>
  <dcterms:created xsi:type="dcterms:W3CDTF">2023-08-24T11:58:00Z</dcterms:created>
  <dcterms:modified xsi:type="dcterms:W3CDTF">2023-11-27T12:03:00Z</dcterms:modified>
</cp:coreProperties>
</file>