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2D3A26">
        <w:rPr>
          <w:lang w:val="uk-UA"/>
        </w:rPr>
        <w:t>–</w:t>
      </w:r>
      <w:r w:rsidR="00997792">
        <w:rPr>
          <w:lang w:val="uk-UA"/>
        </w:rPr>
        <w:t xml:space="preserve"> </w:t>
      </w:r>
      <w:r w:rsidR="003670AE">
        <w:rPr>
          <w:rFonts w:eastAsia="Calibri"/>
          <w:b/>
          <w:lang w:val="uk-UA"/>
        </w:rPr>
        <w:t>сметана та йогурти</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3670AE">
        <w:rPr>
          <w:rFonts w:eastAsia="Calibri"/>
          <w:b/>
          <w:lang w:val="uk-UA"/>
        </w:rPr>
        <w:t>15550000-8</w:t>
      </w:r>
      <w:r w:rsidR="008E14DF">
        <w:rPr>
          <w:rFonts w:eastAsia="Calibri"/>
          <w:b/>
          <w:lang w:val="uk-UA"/>
        </w:rPr>
        <w:t xml:space="preserve"> </w:t>
      </w:r>
      <w:r w:rsidR="003670AE">
        <w:rPr>
          <w:rFonts w:eastAsia="Calibri"/>
          <w:b/>
          <w:lang w:val="uk-UA"/>
        </w:rPr>
        <w:t xml:space="preserve"> Молочна продукція різна</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008E14DF">
        <w:rPr>
          <w:lang w:val="uk-UA"/>
        </w:rPr>
        <w:t>: три</w:t>
      </w:r>
      <w:r w:rsidR="002D3A26">
        <w:rPr>
          <w:lang w:val="uk-UA"/>
        </w:rPr>
        <w:t xml:space="preserve"> </w:t>
      </w:r>
      <w:r w:rsidR="002D3A26" w:rsidRPr="00E952D6">
        <w:rPr>
          <w:lang w:val="uk-UA"/>
        </w:rPr>
        <w:t>раз</w:t>
      </w:r>
      <w:r w:rsidR="008E14DF">
        <w:rPr>
          <w:lang w:val="uk-UA"/>
        </w:rPr>
        <w:t>и</w:t>
      </w:r>
      <w:r w:rsidR="002D3A26">
        <w:rPr>
          <w:lang w:val="uk-UA"/>
        </w:rPr>
        <w:t xml:space="preserve"> на тиждень</w:t>
      </w:r>
      <w:r w:rsidR="002D3A26"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5C0389" w:rsidRDefault="003670AE" w:rsidP="00101DD6">
            <w:pPr>
              <w:rPr>
                <w:szCs w:val="24"/>
                <w:lang w:val="uk-UA"/>
              </w:rPr>
            </w:pPr>
            <w:r>
              <w:rPr>
                <w:szCs w:val="24"/>
                <w:lang w:val="uk-UA"/>
              </w:rPr>
              <w:t>Сметана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8E14DF" w:rsidP="00C3181F">
            <w:pPr>
              <w:tabs>
                <w:tab w:val="left" w:pos="0"/>
              </w:tabs>
              <w:rPr>
                <w:szCs w:val="24"/>
                <w:lang w:val="uk-UA"/>
              </w:rPr>
            </w:pPr>
            <w:r>
              <w:rPr>
                <w:szCs w:val="24"/>
                <w:lang w:val="uk-UA"/>
              </w:rPr>
              <w:t>1</w:t>
            </w:r>
            <w:r w:rsidR="003670AE">
              <w:rPr>
                <w:szCs w:val="24"/>
                <w:lang w:val="uk-UA"/>
              </w:rPr>
              <w:t>884</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8E14DF" w:rsidTr="00C92BEC">
        <w:tc>
          <w:tcPr>
            <w:tcW w:w="541" w:type="dxa"/>
          </w:tcPr>
          <w:p w:rsidR="008E14DF" w:rsidRPr="00EC7FA7" w:rsidRDefault="008E14DF" w:rsidP="00EC7FA7">
            <w:pPr>
              <w:tabs>
                <w:tab w:val="left" w:pos="2160"/>
                <w:tab w:val="left" w:pos="3600"/>
              </w:tabs>
              <w:rPr>
                <w:bCs/>
                <w:lang w:val="uk-UA"/>
              </w:rPr>
            </w:pPr>
            <w:r>
              <w:rPr>
                <w:bCs/>
                <w:lang w:val="uk-UA"/>
              </w:rPr>
              <w:t>2</w:t>
            </w:r>
          </w:p>
        </w:tc>
        <w:tc>
          <w:tcPr>
            <w:tcW w:w="4529" w:type="dxa"/>
          </w:tcPr>
          <w:p w:rsidR="008E14DF" w:rsidRDefault="003670AE" w:rsidP="00101DD6">
            <w:pPr>
              <w:rPr>
                <w:bCs/>
                <w:lang w:val="uk-UA"/>
              </w:rPr>
            </w:pPr>
            <w:r>
              <w:rPr>
                <w:bCs/>
                <w:lang w:val="uk-UA"/>
              </w:rPr>
              <w:t>Йогурти</w:t>
            </w:r>
          </w:p>
        </w:tc>
        <w:tc>
          <w:tcPr>
            <w:tcW w:w="746" w:type="dxa"/>
          </w:tcPr>
          <w:p w:rsidR="008E14DF" w:rsidRPr="008E14DF" w:rsidRDefault="008E14DF" w:rsidP="00101DD6">
            <w:pPr>
              <w:rPr>
                <w:lang w:val="uk-UA"/>
              </w:rPr>
            </w:pPr>
            <w:r>
              <w:rPr>
                <w:lang w:val="uk-UA"/>
              </w:rPr>
              <w:t>кг</w:t>
            </w:r>
          </w:p>
        </w:tc>
        <w:tc>
          <w:tcPr>
            <w:tcW w:w="1177" w:type="dxa"/>
          </w:tcPr>
          <w:p w:rsidR="008E14DF" w:rsidRDefault="003670AE" w:rsidP="00C3181F">
            <w:pPr>
              <w:tabs>
                <w:tab w:val="left" w:pos="0"/>
              </w:tabs>
              <w:rPr>
                <w:lang w:val="uk-UA"/>
              </w:rPr>
            </w:pPr>
            <w:r>
              <w:rPr>
                <w:lang w:val="uk-UA"/>
              </w:rPr>
              <w:t>955</w:t>
            </w:r>
          </w:p>
        </w:tc>
        <w:tc>
          <w:tcPr>
            <w:tcW w:w="1592" w:type="dxa"/>
          </w:tcPr>
          <w:p w:rsidR="008E14DF" w:rsidRPr="00EC7FA7" w:rsidRDefault="008E14DF" w:rsidP="00EC7FA7">
            <w:pPr>
              <w:tabs>
                <w:tab w:val="left" w:pos="2160"/>
                <w:tab w:val="left" w:pos="3600"/>
              </w:tabs>
              <w:rPr>
                <w:bCs/>
                <w:lang w:val="uk-UA"/>
              </w:rPr>
            </w:pPr>
          </w:p>
        </w:tc>
        <w:tc>
          <w:tcPr>
            <w:tcW w:w="1586" w:type="dxa"/>
          </w:tcPr>
          <w:p w:rsidR="008E14DF" w:rsidRPr="00EC7FA7" w:rsidRDefault="008E14DF" w:rsidP="00EC7FA7">
            <w:pPr>
              <w:tabs>
                <w:tab w:val="left" w:pos="2160"/>
                <w:tab w:val="left" w:pos="3600"/>
              </w:tabs>
              <w:rPr>
                <w:bCs/>
                <w:lang w:val="uk-UA"/>
              </w:rPr>
            </w:pPr>
          </w:p>
        </w:tc>
      </w:tr>
      <w:tr w:rsidR="008E14DF" w:rsidTr="00C92BEC">
        <w:tc>
          <w:tcPr>
            <w:tcW w:w="541" w:type="dxa"/>
          </w:tcPr>
          <w:p w:rsidR="008E14DF" w:rsidRPr="00EC7FA7" w:rsidRDefault="008E14DF" w:rsidP="00EC7FA7">
            <w:pPr>
              <w:tabs>
                <w:tab w:val="left" w:pos="2160"/>
                <w:tab w:val="left" w:pos="3600"/>
              </w:tabs>
              <w:rPr>
                <w:bCs/>
                <w:lang w:val="uk-UA"/>
              </w:rPr>
            </w:pPr>
          </w:p>
        </w:tc>
        <w:tc>
          <w:tcPr>
            <w:tcW w:w="4529" w:type="dxa"/>
          </w:tcPr>
          <w:p w:rsidR="008E14DF" w:rsidRDefault="008E14DF" w:rsidP="00101DD6">
            <w:pPr>
              <w:rPr>
                <w:bCs/>
                <w:lang w:val="uk-UA"/>
              </w:rPr>
            </w:pPr>
            <w:r>
              <w:rPr>
                <w:bCs/>
                <w:lang w:val="uk-UA"/>
              </w:rPr>
              <w:t>РАЗОМ:</w:t>
            </w:r>
          </w:p>
        </w:tc>
        <w:tc>
          <w:tcPr>
            <w:tcW w:w="746" w:type="dxa"/>
          </w:tcPr>
          <w:p w:rsidR="008E14DF" w:rsidRPr="00284627" w:rsidRDefault="008E14DF" w:rsidP="00101DD6"/>
        </w:tc>
        <w:tc>
          <w:tcPr>
            <w:tcW w:w="1177" w:type="dxa"/>
          </w:tcPr>
          <w:p w:rsidR="008E14DF" w:rsidRDefault="008E14DF" w:rsidP="00C3181F">
            <w:pPr>
              <w:tabs>
                <w:tab w:val="left" w:pos="0"/>
              </w:tabs>
              <w:rPr>
                <w:lang w:val="uk-UA"/>
              </w:rPr>
            </w:pPr>
            <w:r>
              <w:rPr>
                <w:lang w:val="uk-UA"/>
              </w:rPr>
              <w:t>2</w:t>
            </w:r>
            <w:r w:rsidR="003670AE">
              <w:rPr>
                <w:lang w:val="uk-UA"/>
              </w:rPr>
              <w:t>839</w:t>
            </w:r>
          </w:p>
        </w:tc>
        <w:tc>
          <w:tcPr>
            <w:tcW w:w="1592" w:type="dxa"/>
          </w:tcPr>
          <w:p w:rsidR="008E14DF" w:rsidRPr="00EC7FA7" w:rsidRDefault="008E14DF" w:rsidP="00EC7FA7">
            <w:pPr>
              <w:tabs>
                <w:tab w:val="left" w:pos="2160"/>
                <w:tab w:val="left" w:pos="3600"/>
              </w:tabs>
              <w:rPr>
                <w:bCs/>
                <w:lang w:val="uk-UA"/>
              </w:rPr>
            </w:pPr>
          </w:p>
        </w:tc>
        <w:tc>
          <w:tcPr>
            <w:tcW w:w="1586" w:type="dxa"/>
          </w:tcPr>
          <w:p w:rsidR="008E14DF" w:rsidRPr="00EC7FA7" w:rsidRDefault="008E14DF"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lastRenderedPageBreak/>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Pr="00683390" w:rsidRDefault="001B2CED" w:rsidP="00C44813">
            <w:pPr>
              <w:rPr>
                <w:szCs w:val="24"/>
              </w:rPr>
            </w:pPr>
            <w:r w:rsidRPr="00683390">
              <w:rPr>
                <w:szCs w:val="24"/>
              </w:rPr>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67D33"/>
    <w:rsid w:val="00067D80"/>
    <w:rsid w:val="00082A4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26283"/>
    <w:rsid w:val="00326A72"/>
    <w:rsid w:val="00350F95"/>
    <w:rsid w:val="003670AE"/>
    <w:rsid w:val="00370DFD"/>
    <w:rsid w:val="00377BF6"/>
    <w:rsid w:val="00377C97"/>
    <w:rsid w:val="003804A9"/>
    <w:rsid w:val="003A650B"/>
    <w:rsid w:val="003E3D32"/>
    <w:rsid w:val="003E6DCA"/>
    <w:rsid w:val="00414164"/>
    <w:rsid w:val="0043409B"/>
    <w:rsid w:val="00446864"/>
    <w:rsid w:val="00463715"/>
    <w:rsid w:val="004827C9"/>
    <w:rsid w:val="00485A04"/>
    <w:rsid w:val="00490B2D"/>
    <w:rsid w:val="004B2707"/>
    <w:rsid w:val="004D35E1"/>
    <w:rsid w:val="004D7F66"/>
    <w:rsid w:val="005274F2"/>
    <w:rsid w:val="00590CDC"/>
    <w:rsid w:val="005C0389"/>
    <w:rsid w:val="005C77AC"/>
    <w:rsid w:val="005D1518"/>
    <w:rsid w:val="00616C02"/>
    <w:rsid w:val="00633246"/>
    <w:rsid w:val="0068390B"/>
    <w:rsid w:val="006D0BA0"/>
    <w:rsid w:val="006E465A"/>
    <w:rsid w:val="006F24E8"/>
    <w:rsid w:val="006F4D14"/>
    <w:rsid w:val="007348D0"/>
    <w:rsid w:val="00736624"/>
    <w:rsid w:val="007407EC"/>
    <w:rsid w:val="00743FB4"/>
    <w:rsid w:val="00745B71"/>
    <w:rsid w:val="00774E4E"/>
    <w:rsid w:val="00776213"/>
    <w:rsid w:val="00783678"/>
    <w:rsid w:val="007B01DE"/>
    <w:rsid w:val="007F0F48"/>
    <w:rsid w:val="00843564"/>
    <w:rsid w:val="00854A5D"/>
    <w:rsid w:val="008570DE"/>
    <w:rsid w:val="00860951"/>
    <w:rsid w:val="008655AB"/>
    <w:rsid w:val="00885150"/>
    <w:rsid w:val="0089268C"/>
    <w:rsid w:val="008A3E9B"/>
    <w:rsid w:val="008E14DF"/>
    <w:rsid w:val="008E5B52"/>
    <w:rsid w:val="0091495E"/>
    <w:rsid w:val="00945AB9"/>
    <w:rsid w:val="009537F5"/>
    <w:rsid w:val="00974DEA"/>
    <w:rsid w:val="009826EB"/>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D35A7"/>
    <w:rsid w:val="00BE788A"/>
    <w:rsid w:val="00BF3E7D"/>
    <w:rsid w:val="00C07826"/>
    <w:rsid w:val="00C264D4"/>
    <w:rsid w:val="00C3181F"/>
    <w:rsid w:val="00C33A60"/>
    <w:rsid w:val="00C735D7"/>
    <w:rsid w:val="00C85A30"/>
    <w:rsid w:val="00C92BEC"/>
    <w:rsid w:val="00CC36AB"/>
    <w:rsid w:val="00CD62D4"/>
    <w:rsid w:val="00D2280C"/>
    <w:rsid w:val="00D36F6D"/>
    <w:rsid w:val="00D5694B"/>
    <w:rsid w:val="00D75CEA"/>
    <w:rsid w:val="00DC08B2"/>
    <w:rsid w:val="00DC29A9"/>
    <w:rsid w:val="00DD4BC0"/>
    <w:rsid w:val="00E567CC"/>
    <w:rsid w:val="00E56C2C"/>
    <w:rsid w:val="00E91088"/>
    <w:rsid w:val="00EA35D4"/>
    <w:rsid w:val="00EC7FA7"/>
    <w:rsid w:val="00F14165"/>
    <w:rsid w:val="00F337A7"/>
    <w:rsid w:val="00F46E19"/>
    <w:rsid w:val="00F606EC"/>
    <w:rsid w:val="00F83D22"/>
    <w:rsid w:val="00FB3C2E"/>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994E6-7E08-443E-A2B7-70F22F57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5382</Words>
  <Characters>30680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21</cp:revision>
  <dcterms:created xsi:type="dcterms:W3CDTF">2023-08-24T11:58:00Z</dcterms:created>
  <dcterms:modified xsi:type="dcterms:W3CDTF">2023-11-20T13:13:00Z</dcterms:modified>
</cp:coreProperties>
</file>