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BE2669" w:rsidRDefault="00BE2669" w:rsidP="00E952D6">
      <w:pPr>
        <w:ind w:left="-900" w:right="-365"/>
        <w:jc w:val="center"/>
        <w:rPr>
          <w:b/>
          <w:bCs/>
          <w:kern w:val="1"/>
          <w:lang w:val="uk-UA" w:eastAsia="ru-RU"/>
        </w:rPr>
      </w:pPr>
    </w:p>
    <w:p w:rsidR="00E952D6" w:rsidRDefault="00E952D6" w:rsidP="00E952D6">
      <w:pPr>
        <w:ind w:left="-900" w:right="-365"/>
        <w:jc w:val="center"/>
        <w:rPr>
          <w:b/>
          <w:bCs/>
          <w:kern w:val="1"/>
          <w:lang w:eastAsia="ru-RU"/>
        </w:rPr>
      </w:pPr>
      <w:r>
        <w:rPr>
          <w:b/>
          <w:bCs/>
          <w:kern w:val="1"/>
          <w:lang w:eastAsia="ru-RU"/>
        </w:rPr>
        <w:t>ТЕХНІЧНА СПЕЦІФІКАЦІЯ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r w:rsidR="009A2535">
        <w:rPr>
          <w:rFonts w:eastAsiaTheme="minorHAnsi"/>
          <w:b/>
          <w:lang w:val="uk-UA" w:eastAsia="en-US"/>
        </w:rPr>
        <w:t>ДК 021:2015 1522</w:t>
      </w:r>
      <w:r w:rsidR="006B0301">
        <w:rPr>
          <w:rFonts w:eastAsiaTheme="minorHAnsi"/>
          <w:b/>
          <w:lang w:val="uk-UA" w:eastAsia="en-US"/>
        </w:rPr>
        <w:t>0000-6</w:t>
      </w:r>
      <w:r w:rsidRPr="009B748E">
        <w:rPr>
          <w:rFonts w:eastAsiaTheme="minorHAnsi"/>
          <w:b/>
          <w:lang w:val="uk-UA" w:eastAsia="en-US"/>
        </w:rPr>
        <w:t xml:space="preserve"> – </w:t>
      </w:r>
      <w:r w:rsidR="009A2535" w:rsidRPr="009A2535">
        <w:rPr>
          <w:b/>
          <w:lang w:val="uk-UA"/>
        </w:rPr>
        <w:t>Риба, рибне філе та інше м’ясо риби морожені</w:t>
      </w:r>
      <w:r w:rsidR="009A2535">
        <w:rPr>
          <w:bCs/>
          <w:kern w:val="1"/>
          <w:lang w:val="uk-UA"/>
        </w:rPr>
        <w:t xml:space="preserve"> </w:t>
      </w:r>
      <w:r w:rsidR="009A2535" w:rsidRPr="009A2535">
        <w:rPr>
          <w:b/>
          <w:bCs/>
          <w:kern w:val="1"/>
          <w:lang w:val="uk-UA"/>
        </w:rPr>
        <w:t>(риба свіжоморожена ХЕК)</w:t>
      </w:r>
      <w:r w:rsidR="009A2535">
        <w:rPr>
          <w:bCs/>
          <w:kern w:val="1"/>
          <w:lang w:val="uk-UA"/>
        </w:rPr>
        <w:t xml:space="preserve"> </w:t>
      </w:r>
      <w:r w:rsidR="009A2535" w:rsidRPr="00E952D6">
        <w:rPr>
          <w:bCs/>
          <w:kern w:val="1"/>
          <w:lang w:val="uk-UA"/>
        </w:rPr>
        <w:t xml:space="preserve"> </w:t>
      </w:r>
      <w:r w:rsidRPr="00E952D6">
        <w:rPr>
          <w:bCs/>
          <w:kern w:val="1"/>
          <w:lang w:val="uk-UA"/>
        </w:rPr>
        <w:t>(далі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9A2535">
        <w:rPr>
          <w:b/>
          <w:bCs/>
          <w:kern w:val="1"/>
          <w:lang w:val="uk-UA"/>
        </w:rPr>
        <w:t>3241</w:t>
      </w:r>
      <w:r w:rsidR="00BE2669">
        <w:rPr>
          <w:b/>
          <w:bCs/>
          <w:kern w:val="1"/>
          <w:lang w:val="uk-UA"/>
        </w:rPr>
        <w:t xml:space="preserve"> </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174798" w:rsidRPr="00174798">
        <w:rPr>
          <w:b/>
          <w:bCs/>
          <w:kern w:val="1"/>
          <w:lang w:val="uk-UA"/>
        </w:rPr>
        <w:t>з 01.01.2024р.</w:t>
      </w:r>
      <w:r w:rsidR="00174798">
        <w:rPr>
          <w:bCs/>
          <w:kern w:val="1"/>
          <w:lang w:val="uk-UA"/>
        </w:rPr>
        <w:t xml:space="preserve"> </w:t>
      </w:r>
      <w:r w:rsidR="00DE7F9B">
        <w:rPr>
          <w:b/>
          <w:bCs/>
          <w:kern w:val="1"/>
          <w:lang w:val="uk-UA"/>
        </w:rPr>
        <w:t>до 31.12.2024</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9A2535">
        <w:rPr>
          <w:lang w:val="uk-UA"/>
        </w:rPr>
        <w:t xml:space="preserve">один </w:t>
      </w:r>
      <w:r w:rsidR="009A2535" w:rsidRPr="00E952D6">
        <w:rPr>
          <w:lang w:val="uk-UA"/>
        </w:rPr>
        <w:t>раз</w:t>
      </w:r>
      <w:r w:rsidR="009A2535">
        <w:rPr>
          <w:lang w:val="uk-UA"/>
        </w:rPr>
        <w:t xml:space="preserve"> на тиждень</w:t>
      </w:r>
      <w:r w:rsidR="009A2535" w:rsidRPr="00E952D6">
        <w:rPr>
          <w:lang w:val="uk-UA"/>
        </w:rPr>
        <w:t xml:space="preserve"> </w:t>
      </w:r>
      <w:r w:rsidR="00BB4B3A" w:rsidRPr="00E952D6">
        <w:rPr>
          <w:lang w:val="uk-UA"/>
        </w:rPr>
        <w:t>(зг</w:t>
      </w:r>
      <w:r w:rsidR="00BB4B3A">
        <w:rPr>
          <w:lang w:val="uk-UA"/>
        </w:rPr>
        <w:t>ідно заявок)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Місце поставки: за адресами закладів освіти Попельнастівської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DE7F9B">
            <w:pPr>
              <w:jc w:val="center"/>
              <w:rPr>
                <w:b/>
                <w:sz w:val="24"/>
                <w:szCs w:val="24"/>
                <w:lang w:val="uk-UA"/>
              </w:rPr>
            </w:pPr>
            <w:r w:rsidRPr="00437185">
              <w:rPr>
                <w:b/>
                <w:sz w:val="24"/>
                <w:szCs w:val="24"/>
                <w:lang w:val="uk-UA"/>
              </w:rPr>
              <w:t xml:space="preserve">Заклади </w:t>
            </w:r>
            <w:r w:rsidR="00DE7F9B">
              <w:rPr>
                <w:b/>
                <w:sz w:val="24"/>
                <w:szCs w:val="24"/>
                <w:lang w:val="uk-UA"/>
              </w:rPr>
              <w:t xml:space="preserve">загальної середньої </w:t>
            </w:r>
            <w:r w:rsidRPr="00437185">
              <w:rPr>
                <w:b/>
                <w:sz w:val="24"/>
                <w:szCs w:val="24"/>
                <w:lang w:val="uk-UA"/>
              </w:rPr>
              <w:t>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r w:rsidRPr="00683390">
              <w:rPr>
                <w:sz w:val="24"/>
                <w:szCs w:val="24"/>
              </w:rPr>
              <w:t>Добронадіївськ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Шкільна, 25,  с. Добронадіївка, Олександрійський район Кіровоградська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r w:rsidRPr="00683390">
              <w:rPr>
                <w:sz w:val="24"/>
                <w:szCs w:val="24"/>
              </w:rPr>
              <w:t xml:space="preserve">Куколівський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Центральна, 4, с. Куколівка,              Олександрійський район Кіровоградська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r w:rsidRPr="00683390">
              <w:rPr>
                <w:sz w:val="24"/>
                <w:szCs w:val="24"/>
              </w:rPr>
              <w:t>Олександрівськ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вул. Зелена, 21-</w:t>
            </w:r>
            <w:r>
              <w:rPr>
                <w:sz w:val="24"/>
                <w:szCs w:val="24"/>
                <w:lang w:val="uk-UA"/>
              </w:rPr>
              <w:t>А</w:t>
            </w:r>
            <w:r w:rsidRPr="00683390">
              <w:rPr>
                <w:sz w:val="24"/>
                <w:szCs w:val="24"/>
              </w:rPr>
              <w:t xml:space="preserve">  с. Олександрівка, Олександрійський район Кіровоградська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r w:rsidRPr="00683390">
              <w:rPr>
                <w:sz w:val="24"/>
                <w:szCs w:val="24"/>
                <w:lang w:val="uk-UA"/>
              </w:rPr>
              <w:t xml:space="preserve">Попельнастівський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r w:rsidRPr="00683390">
              <w:rPr>
                <w:sz w:val="24"/>
                <w:szCs w:val="24"/>
              </w:rPr>
              <w:t>Улянівськ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 xml:space="preserve">вул. Шкільна, </w:t>
            </w:r>
            <w:r>
              <w:rPr>
                <w:sz w:val="24"/>
                <w:szCs w:val="24"/>
                <w:lang w:val="uk-UA"/>
              </w:rPr>
              <w:t>4</w:t>
            </w:r>
            <w:r w:rsidRPr="00683390">
              <w:rPr>
                <w:sz w:val="24"/>
                <w:szCs w:val="24"/>
              </w:rPr>
              <w:t>,  с. Улянівка,             Олександрійський район Кіровоградська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r w:rsidRPr="00683390">
              <w:rPr>
                <w:sz w:val="24"/>
                <w:szCs w:val="24"/>
              </w:rPr>
              <w:t xml:space="preserve">Червонокам’янський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 xml:space="preserve">вул. </w:t>
            </w:r>
            <w:r w:rsidRPr="00683390">
              <w:rPr>
                <w:sz w:val="24"/>
                <w:szCs w:val="24"/>
                <w:lang w:val="uk-UA"/>
              </w:rPr>
              <w:t>Гаценка</w:t>
            </w:r>
            <w:r w:rsidRPr="00683390">
              <w:rPr>
                <w:sz w:val="24"/>
                <w:szCs w:val="24"/>
              </w:rPr>
              <w:t>, 2, с. Червона Кам'янка, Олександрійський район Кіровоградська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r w:rsidRPr="007659B0">
              <w:rPr>
                <w:sz w:val="24"/>
                <w:szCs w:val="24"/>
                <w:lang w:val="uk-UA"/>
              </w:rPr>
              <w:t>Щасливськ</w:t>
            </w:r>
            <w:r>
              <w:rPr>
                <w:sz w:val="24"/>
                <w:szCs w:val="24"/>
                <w:lang w:val="uk-UA"/>
              </w:rPr>
              <w:t>а філія Червонокам</w:t>
            </w:r>
            <w:r w:rsidRPr="007659B0">
              <w:rPr>
                <w:sz w:val="24"/>
                <w:szCs w:val="24"/>
                <w:lang w:val="uk-UA"/>
              </w:rPr>
              <w:t>’</w:t>
            </w:r>
            <w:r>
              <w:rPr>
                <w:sz w:val="24"/>
                <w:szCs w:val="24"/>
                <w:lang w:val="uk-UA"/>
              </w:rPr>
              <w:t>янського</w:t>
            </w:r>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r w:rsidR="00DE7F9B" w:rsidRPr="00437185" w:rsidTr="00523E23">
        <w:tc>
          <w:tcPr>
            <w:tcW w:w="10185" w:type="dxa"/>
            <w:gridSpan w:val="5"/>
          </w:tcPr>
          <w:p w:rsidR="00DE7F9B" w:rsidRPr="00437185" w:rsidRDefault="00DE7F9B" w:rsidP="00860D38">
            <w:pPr>
              <w:jc w:val="center"/>
              <w:rPr>
                <w:b/>
                <w:sz w:val="24"/>
                <w:szCs w:val="24"/>
                <w:lang w:val="uk-UA"/>
              </w:rPr>
            </w:pPr>
            <w:r w:rsidRPr="00437185">
              <w:rPr>
                <w:b/>
                <w:sz w:val="24"/>
                <w:szCs w:val="24"/>
                <w:lang w:val="uk-UA"/>
              </w:rPr>
              <w:t>Заклади дошкільної освіти</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1</w:t>
            </w:r>
          </w:p>
        </w:tc>
        <w:tc>
          <w:tcPr>
            <w:tcW w:w="3428" w:type="dxa"/>
          </w:tcPr>
          <w:p w:rsidR="00DE7F9B" w:rsidRDefault="00DE7F9B" w:rsidP="00860D38">
            <w:pPr>
              <w:rPr>
                <w:sz w:val="24"/>
                <w:szCs w:val="24"/>
              </w:rPr>
            </w:pPr>
            <w:r w:rsidRPr="00DA2B76">
              <w:rPr>
                <w:sz w:val="24"/>
                <w:szCs w:val="24"/>
              </w:rPr>
              <w:t>Добронадіївський ЗДО</w:t>
            </w:r>
          </w:p>
          <w:p w:rsidR="00DE7F9B" w:rsidRPr="00DA2B76" w:rsidRDefault="00DE7F9B" w:rsidP="00860D38">
            <w:pPr>
              <w:rPr>
                <w:sz w:val="24"/>
                <w:szCs w:val="24"/>
              </w:rPr>
            </w:pPr>
            <w:r w:rsidRPr="00DA2B76">
              <w:rPr>
                <w:sz w:val="24"/>
                <w:szCs w:val="24"/>
              </w:rPr>
              <w:t xml:space="preserve"> "Сонечко"</w:t>
            </w:r>
          </w:p>
        </w:tc>
        <w:tc>
          <w:tcPr>
            <w:tcW w:w="5103" w:type="dxa"/>
          </w:tcPr>
          <w:p w:rsidR="00DE7F9B" w:rsidRPr="00DA2B76" w:rsidRDefault="00DE7F9B" w:rsidP="00860D38">
            <w:pPr>
              <w:rPr>
                <w:sz w:val="24"/>
                <w:szCs w:val="24"/>
              </w:rPr>
            </w:pPr>
            <w:r>
              <w:rPr>
                <w:sz w:val="24"/>
                <w:szCs w:val="24"/>
              </w:rPr>
              <w:t>вул. Шкільна, 1-</w:t>
            </w:r>
            <w:r>
              <w:rPr>
                <w:sz w:val="24"/>
                <w:szCs w:val="24"/>
                <w:lang w:val="uk-UA"/>
              </w:rPr>
              <w:t>А</w:t>
            </w:r>
            <w:r w:rsidRPr="00DA2B76">
              <w:rPr>
                <w:sz w:val="24"/>
                <w:szCs w:val="24"/>
              </w:rPr>
              <w:t>,  с. Добронадіївка, Олександрійський район Кіровоградська область, 28054</w:t>
            </w:r>
          </w:p>
        </w:tc>
        <w:tc>
          <w:tcPr>
            <w:tcW w:w="1146" w:type="dxa"/>
          </w:tcPr>
          <w:p w:rsidR="00DE7F9B" w:rsidRPr="00437185" w:rsidRDefault="00DE7F9B" w:rsidP="00860D38">
            <w:pPr>
              <w:rPr>
                <w:sz w:val="24"/>
                <w:szCs w:val="24"/>
                <w:lang w:val="uk-UA"/>
              </w:rPr>
            </w:pPr>
            <w:r w:rsidRPr="00437185">
              <w:rPr>
                <w:sz w:val="24"/>
                <w:szCs w:val="24"/>
                <w:lang w:val="uk-UA"/>
              </w:rPr>
              <w:t>34</w:t>
            </w:r>
          </w:p>
        </w:tc>
      </w:tr>
      <w:tr w:rsidR="00DE7F9B" w:rsidRPr="00437185" w:rsidTr="00680F30">
        <w:tc>
          <w:tcPr>
            <w:tcW w:w="508" w:type="dxa"/>
            <w:gridSpan w:val="2"/>
          </w:tcPr>
          <w:p w:rsidR="00DE7F9B" w:rsidRDefault="00DE7F9B" w:rsidP="00860D38">
            <w:pPr>
              <w:rPr>
                <w:lang w:val="uk-UA"/>
              </w:rPr>
            </w:pPr>
            <w:r>
              <w:rPr>
                <w:lang w:val="uk-UA"/>
              </w:rPr>
              <w:t>2</w:t>
            </w:r>
          </w:p>
        </w:tc>
        <w:tc>
          <w:tcPr>
            <w:tcW w:w="3428" w:type="dxa"/>
          </w:tcPr>
          <w:p w:rsidR="00DE7F9B" w:rsidRDefault="00DE7F9B" w:rsidP="00860D38">
            <w:pPr>
              <w:rPr>
                <w:sz w:val="24"/>
                <w:szCs w:val="24"/>
                <w:lang w:val="uk-UA"/>
              </w:rPr>
            </w:pPr>
            <w:r w:rsidRPr="00DA2B76">
              <w:rPr>
                <w:sz w:val="24"/>
                <w:szCs w:val="24"/>
              </w:rPr>
              <w:t>Д</w:t>
            </w:r>
            <w:r>
              <w:rPr>
                <w:sz w:val="24"/>
                <w:szCs w:val="24"/>
              </w:rPr>
              <w:t>і</w:t>
            </w:r>
            <w:r w:rsidRPr="00DA2B76">
              <w:rPr>
                <w:sz w:val="24"/>
                <w:szCs w:val="24"/>
              </w:rPr>
              <w:t>вочепільський ЗДО</w:t>
            </w:r>
          </w:p>
          <w:p w:rsidR="00DE7F9B" w:rsidRPr="005B1A27" w:rsidRDefault="00DE7F9B" w:rsidP="00860D38">
            <w:pPr>
              <w:rPr>
                <w:sz w:val="24"/>
                <w:szCs w:val="24"/>
                <w:lang w:val="uk-UA"/>
              </w:rPr>
            </w:pPr>
            <w:r>
              <w:rPr>
                <w:sz w:val="24"/>
                <w:szCs w:val="24"/>
                <w:lang w:val="uk-UA"/>
              </w:rPr>
              <w:t>«Веселка»</w:t>
            </w:r>
          </w:p>
        </w:tc>
        <w:tc>
          <w:tcPr>
            <w:tcW w:w="5103" w:type="dxa"/>
          </w:tcPr>
          <w:p w:rsidR="00DE7F9B" w:rsidRPr="00DA2B76" w:rsidRDefault="00DE7F9B" w:rsidP="00860D38">
            <w:pPr>
              <w:rPr>
                <w:sz w:val="24"/>
                <w:szCs w:val="24"/>
              </w:rPr>
            </w:pPr>
            <w:r>
              <w:rPr>
                <w:sz w:val="24"/>
                <w:szCs w:val="24"/>
              </w:rPr>
              <w:t>вул. Чкалова, 1</w:t>
            </w:r>
            <w:r>
              <w:rPr>
                <w:sz w:val="24"/>
                <w:szCs w:val="24"/>
                <w:lang w:val="uk-UA"/>
              </w:rPr>
              <w:t>3</w:t>
            </w:r>
            <w:r w:rsidRPr="00DA2B76">
              <w:rPr>
                <w:sz w:val="24"/>
                <w:szCs w:val="24"/>
              </w:rPr>
              <w:t>, с. Дівоче Поле,</w:t>
            </w:r>
          </w:p>
          <w:p w:rsidR="00DE7F9B" w:rsidRPr="00DA2B76" w:rsidRDefault="00DE7F9B" w:rsidP="00860D38">
            <w:pPr>
              <w:rPr>
                <w:sz w:val="24"/>
                <w:szCs w:val="24"/>
              </w:rPr>
            </w:pPr>
            <w:r w:rsidRPr="00DA2B76">
              <w:rPr>
                <w:sz w:val="24"/>
                <w:szCs w:val="24"/>
              </w:rPr>
              <w:t>Олександрійський район Кіровоградська область, 28050</w:t>
            </w:r>
          </w:p>
        </w:tc>
        <w:tc>
          <w:tcPr>
            <w:tcW w:w="1146" w:type="dxa"/>
          </w:tcPr>
          <w:p w:rsidR="00DE7F9B" w:rsidRPr="00437185" w:rsidRDefault="00DE7F9B" w:rsidP="00860D38">
            <w:pPr>
              <w:rPr>
                <w:sz w:val="24"/>
                <w:szCs w:val="24"/>
                <w:lang w:val="uk-UA"/>
              </w:rPr>
            </w:pPr>
            <w:r>
              <w:rPr>
                <w:sz w:val="24"/>
                <w:szCs w:val="24"/>
                <w:lang w:val="uk-UA"/>
              </w:rPr>
              <w:t>38</w:t>
            </w:r>
          </w:p>
        </w:tc>
      </w:tr>
      <w:tr w:rsidR="00DE7F9B" w:rsidRPr="00437185" w:rsidTr="00680F30">
        <w:tc>
          <w:tcPr>
            <w:tcW w:w="508" w:type="dxa"/>
            <w:gridSpan w:val="2"/>
          </w:tcPr>
          <w:p w:rsidR="00DE7F9B" w:rsidRDefault="00DE7F9B" w:rsidP="00860D38">
            <w:pPr>
              <w:rPr>
                <w:lang w:val="uk-UA"/>
              </w:rPr>
            </w:pPr>
            <w:r>
              <w:rPr>
                <w:lang w:val="uk-UA"/>
              </w:rPr>
              <w:t>3</w:t>
            </w:r>
          </w:p>
        </w:tc>
        <w:tc>
          <w:tcPr>
            <w:tcW w:w="3428" w:type="dxa"/>
          </w:tcPr>
          <w:p w:rsidR="00DE7F9B" w:rsidRPr="000D28DF" w:rsidRDefault="00DE7F9B" w:rsidP="00860D38">
            <w:pPr>
              <w:rPr>
                <w:lang w:val="uk-UA"/>
              </w:rPr>
            </w:pPr>
            <w:r>
              <w:rPr>
                <w:lang w:val="uk-UA"/>
              </w:rPr>
              <w:t xml:space="preserve">Підпозділ дошкільної освіти  (ЗДО) Куколівського ліцею </w:t>
            </w:r>
          </w:p>
        </w:tc>
        <w:tc>
          <w:tcPr>
            <w:tcW w:w="5103" w:type="dxa"/>
          </w:tcPr>
          <w:p w:rsidR="00DE7F9B" w:rsidRPr="00DA2B76" w:rsidRDefault="00DE7F9B" w:rsidP="00860D38">
            <w:pPr>
              <w:rPr>
                <w:sz w:val="24"/>
                <w:szCs w:val="24"/>
              </w:rPr>
            </w:pPr>
            <w:r>
              <w:rPr>
                <w:sz w:val="24"/>
                <w:szCs w:val="24"/>
              </w:rPr>
              <w:t xml:space="preserve">вул. </w:t>
            </w:r>
            <w:r>
              <w:rPr>
                <w:sz w:val="24"/>
                <w:szCs w:val="24"/>
                <w:lang w:val="uk-UA"/>
              </w:rPr>
              <w:t>Центральна, буд.4</w:t>
            </w:r>
            <w:r>
              <w:rPr>
                <w:sz w:val="24"/>
                <w:szCs w:val="24"/>
              </w:rPr>
              <w:t xml:space="preserve">, с. </w:t>
            </w:r>
            <w:r>
              <w:rPr>
                <w:sz w:val="24"/>
                <w:szCs w:val="24"/>
                <w:lang w:val="uk-UA"/>
              </w:rPr>
              <w:t>Куколівка</w:t>
            </w:r>
            <w:r w:rsidRPr="00DA2B76">
              <w:rPr>
                <w:sz w:val="24"/>
                <w:szCs w:val="24"/>
              </w:rPr>
              <w:t>,</w:t>
            </w:r>
          </w:p>
          <w:p w:rsidR="00DE7F9B" w:rsidRPr="000D28DF" w:rsidRDefault="00DE7F9B" w:rsidP="00860D38">
            <w:pPr>
              <w:rPr>
                <w:lang w:val="uk-UA"/>
              </w:rPr>
            </w:pPr>
            <w:r w:rsidRPr="00DA2B76">
              <w:rPr>
                <w:sz w:val="24"/>
                <w:szCs w:val="24"/>
              </w:rPr>
              <w:t>Олександрійський район Кіровоградська область, 2805</w:t>
            </w:r>
            <w:r>
              <w:rPr>
                <w:sz w:val="24"/>
                <w:szCs w:val="24"/>
                <w:lang w:val="uk-UA"/>
              </w:rPr>
              <w:t>2</w:t>
            </w:r>
          </w:p>
        </w:tc>
        <w:tc>
          <w:tcPr>
            <w:tcW w:w="1146" w:type="dxa"/>
          </w:tcPr>
          <w:p w:rsidR="00DE7F9B" w:rsidRDefault="00DE7F9B" w:rsidP="00860D38">
            <w:pPr>
              <w:rPr>
                <w:lang w:val="uk-UA"/>
              </w:rPr>
            </w:pPr>
            <w:r>
              <w:rPr>
                <w:lang w:val="uk-UA"/>
              </w:rPr>
              <w:t>17</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4</w:t>
            </w:r>
          </w:p>
        </w:tc>
        <w:tc>
          <w:tcPr>
            <w:tcW w:w="3428" w:type="dxa"/>
          </w:tcPr>
          <w:p w:rsidR="00DE7F9B" w:rsidRDefault="00DE7F9B" w:rsidP="00860D38">
            <w:pPr>
              <w:rPr>
                <w:sz w:val="24"/>
                <w:szCs w:val="24"/>
              </w:rPr>
            </w:pPr>
            <w:r w:rsidRPr="00DA2B76">
              <w:rPr>
                <w:sz w:val="24"/>
                <w:szCs w:val="24"/>
              </w:rPr>
              <w:t xml:space="preserve">Михайлівський ЗДО </w:t>
            </w:r>
          </w:p>
          <w:p w:rsidR="00DE7F9B" w:rsidRPr="00DA2B76" w:rsidRDefault="00DE7F9B" w:rsidP="00860D38">
            <w:pPr>
              <w:rPr>
                <w:sz w:val="24"/>
                <w:szCs w:val="24"/>
              </w:rPr>
            </w:pPr>
            <w:r w:rsidRPr="00DA2B76">
              <w:rPr>
                <w:sz w:val="24"/>
                <w:szCs w:val="24"/>
              </w:rPr>
              <w:t>«Сонечко»</w:t>
            </w:r>
          </w:p>
        </w:tc>
        <w:tc>
          <w:tcPr>
            <w:tcW w:w="5103" w:type="dxa"/>
          </w:tcPr>
          <w:p w:rsidR="00DE7F9B" w:rsidRPr="00DA2B76" w:rsidRDefault="00DE7F9B" w:rsidP="00860D38">
            <w:pPr>
              <w:jc w:val="both"/>
              <w:rPr>
                <w:sz w:val="24"/>
                <w:szCs w:val="24"/>
              </w:rPr>
            </w:pPr>
            <w:r>
              <w:rPr>
                <w:sz w:val="24"/>
                <w:szCs w:val="24"/>
              </w:rPr>
              <w:t xml:space="preserve">вул. Нова, </w:t>
            </w:r>
            <w:r>
              <w:rPr>
                <w:sz w:val="24"/>
                <w:szCs w:val="24"/>
                <w:lang w:val="uk-UA"/>
              </w:rPr>
              <w:t>2</w:t>
            </w:r>
            <w:r>
              <w:rPr>
                <w:sz w:val="24"/>
                <w:szCs w:val="24"/>
              </w:rPr>
              <w:t>-</w:t>
            </w:r>
            <w:r>
              <w:rPr>
                <w:sz w:val="24"/>
                <w:szCs w:val="24"/>
                <w:lang w:val="uk-UA"/>
              </w:rPr>
              <w:t>А</w:t>
            </w:r>
            <w:r w:rsidRPr="00DA2B76">
              <w:rPr>
                <w:sz w:val="24"/>
                <w:szCs w:val="24"/>
              </w:rPr>
              <w:t>, с. Михайлівка,</w:t>
            </w:r>
          </w:p>
          <w:p w:rsidR="00DE7F9B" w:rsidRPr="00DA2B76" w:rsidRDefault="00DE7F9B" w:rsidP="00860D38">
            <w:pPr>
              <w:rPr>
                <w:sz w:val="24"/>
                <w:szCs w:val="24"/>
              </w:rPr>
            </w:pPr>
            <w:r w:rsidRPr="00DA2B76">
              <w:rPr>
                <w:sz w:val="24"/>
                <w:szCs w:val="24"/>
              </w:rPr>
              <w:t>Олександрійський район Кіровоградська область, 280064</w:t>
            </w:r>
          </w:p>
        </w:tc>
        <w:tc>
          <w:tcPr>
            <w:tcW w:w="1146" w:type="dxa"/>
          </w:tcPr>
          <w:p w:rsidR="00DE7F9B" w:rsidRPr="00437185" w:rsidRDefault="00DE7F9B" w:rsidP="00860D38">
            <w:pPr>
              <w:jc w:val="both"/>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lastRenderedPageBreak/>
              <w:t>5</w:t>
            </w:r>
          </w:p>
        </w:tc>
        <w:tc>
          <w:tcPr>
            <w:tcW w:w="3428" w:type="dxa"/>
          </w:tcPr>
          <w:p w:rsidR="00DE7F9B" w:rsidRDefault="00DE7F9B" w:rsidP="00860D38">
            <w:pPr>
              <w:rPr>
                <w:sz w:val="24"/>
                <w:szCs w:val="24"/>
              </w:rPr>
            </w:pPr>
            <w:r w:rsidRPr="00DA2B76">
              <w:rPr>
                <w:sz w:val="24"/>
                <w:szCs w:val="24"/>
              </w:rPr>
              <w:t xml:space="preserve">Олександрівський ЗДО </w:t>
            </w:r>
          </w:p>
          <w:p w:rsidR="00DE7F9B" w:rsidRPr="00DA2B76" w:rsidRDefault="00DE7F9B" w:rsidP="00860D38">
            <w:pPr>
              <w:rPr>
                <w:sz w:val="24"/>
                <w:szCs w:val="24"/>
              </w:rPr>
            </w:pPr>
            <w:r w:rsidRPr="00DA2B76">
              <w:rPr>
                <w:sz w:val="24"/>
                <w:szCs w:val="24"/>
              </w:rPr>
              <w:t xml:space="preserve"> "Малятко"</w:t>
            </w:r>
          </w:p>
        </w:tc>
        <w:tc>
          <w:tcPr>
            <w:tcW w:w="5103" w:type="dxa"/>
          </w:tcPr>
          <w:p w:rsidR="00DE7F9B" w:rsidRPr="00DA2B76" w:rsidRDefault="00DE7F9B" w:rsidP="00860D38">
            <w:pPr>
              <w:rPr>
                <w:sz w:val="24"/>
                <w:szCs w:val="24"/>
              </w:rPr>
            </w:pPr>
            <w:r>
              <w:rPr>
                <w:sz w:val="24"/>
                <w:szCs w:val="24"/>
              </w:rPr>
              <w:t>вул. Центральна, 1-</w:t>
            </w:r>
            <w:r>
              <w:rPr>
                <w:sz w:val="24"/>
                <w:szCs w:val="24"/>
                <w:lang w:val="uk-UA"/>
              </w:rPr>
              <w:t>Д</w:t>
            </w:r>
            <w:r w:rsidRPr="00DA2B76">
              <w:rPr>
                <w:sz w:val="24"/>
                <w:szCs w:val="24"/>
              </w:rPr>
              <w:t xml:space="preserve">  с. Олександрівка, Олександрійський район Кіровоградська область, 28051</w:t>
            </w:r>
          </w:p>
        </w:tc>
        <w:tc>
          <w:tcPr>
            <w:tcW w:w="1146" w:type="dxa"/>
          </w:tcPr>
          <w:p w:rsidR="00DE7F9B" w:rsidRPr="00437185" w:rsidRDefault="00DE7F9B" w:rsidP="00860D38">
            <w:pPr>
              <w:rPr>
                <w:sz w:val="24"/>
                <w:szCs w:val="24"/>
                <w:lang w:val="uk-UA"/>
              </w:rPr>
            </w:pPr>
            <w:r>
              <w:rPr>
                <w:sz w:val="24"/>
                <w:szCs w:val="24"/>
                <w:lang w:val="uk-UA"/>
              </w:rPr>
              <w:t>28</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6</w:t>
            </w:r>
          </w:p>
        </w:tc>
        <w:tc>
          <w:tcPr>
            <w:tcW w:w="3428" w:type="dxa"/>
          </w:tcPr>
          <w:p w:rsidR="00DE7F9B" w:rsidRDefault="00DE7F9B" w:rsidP="00860D38">
            <w:pPr>
              <w:rPr>
                <w:sz w:val="24"/>
                <w:szCs w:val="24"/>
                <w:lang w:val="uk-UA"/>
              </w:rPr>
            </w:pPr>
            <w:r w:rsidRPr="00DA2B76">
              <w:rPr>
                <w:sz w:val="24"/>
                <w:szCs w:val="24"/>
              </w:rPr>
              <w:t>Попельнастівський ЗДО</w:t>
            </w:r>
          </w:p>
          <w:p w:rsidR="00DE7F9B" w:rsidRPr="005B1A27" w:rsidRDefault="00DE7F9B" w:rsidP="00860D38">
            <w:pPr>
              <w:rPr>
                <w:sz w:val="24"/>
                <w:szCs w:val="24"/>
                <w:lang w:val="uk-UA"/>
              </w:rPr>
            </w:pPr>
            <w:r>
              <w:rPr>
                <w:sz w:val="24"/>
                <w:szCs w:val="24"/>
                <w:lang w:val="uk-UA"/>
              </w:rPr>
              <w:t>«Капітошка»</w:t>
            </w:r>
          </w:p>
        </w:tc>
        <w:tc>
          <w:tcPr>
            <w:tcW w:w="5103" w:type="dxa"/>
          </w:tcPr>
          <w:p w:rsidR="00DE7F9B" w:rsidRPr="00DA2B76" w:rsidRDefault="00DE7F9B" w:rsidP="00860D38">
            <w:pPr>
              <w:rPr>
                <w:sz w:val="24"/>
                <w:szCs w:val="24"/>
              </w:rPr>
            </w:pPr>
            <w:r w:rsidRPr="00DA2B76">
              <w:rPr>
                <w:sz w:val="24"/>
                <w:szCs w:val="24"/>
              </w:rPr>
              <w:t>вул. Соборна, 9</w:t>
            </w:r>
            <w:r>
              <w:rPr>
                <w:sz w:val="24"/>
                <w:szCs w:val="24"/>
                <w:lang w:val="uk-UA"/>
              </w:rPr>
              <w:t>-А</w:t>
            </w:r>
            <w:r w:rsidRPr="00DA2B76">
              <w:rPr>
                <w:sz w:val="24"/>
                <w:szCs w:val="24"/>
              </w:rPr>
              <w:t>, с. Попельнасте, Олександрійський район Кіровоградська область, 28062</w:t>
            </w:r>
          </w:p>
        </w:tc>
        <w:tc>
          <w:tcPr>
            <w:tcW w:w="1146" w:type="dxa"/>
          </w:tcPr>
          <w:p w:rsidR="00DE7F9B" w:rsidRPr="00437185" w:rsidRDefault="00DE7F9B" w:rsidP="00860D38">
            <w:pPr>
              <w:rPr>
                <w:sz w:val="24"/>
                <w:szCs w:val="24"/>
                <w:lang w:val="uk-UA"/>
              </w:rPr>
            </w:pPr>
            <w:r w:rsidRPr="00437185">
              <w:rPr>
                <w:sz w:val="24"/>
                <w:szCs w:val="24"/>
                <w:lang w:val="uk-UA"/>
              </w:rPr>
              <w:t>64</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7</w:t>
            </w:r>
          </w:p>
        </w:tc>
        <w:tc>
          <w:tcPr>
            <w:tcW w:w="3428" w:type="dxa"/>
          </w:tcPr>
          <w:p w:rsidR="00DE7F9B" w:rsidRDefault="00DE7F9B" w:rsidP="00860D38">
            <w:pPr>
              <w:rPr>
                <w:sz w:val="24"/>
                <w:szCs w:val="24"/>
              </w:rPr>
            </w:pPr>
            <w:r w:rsidRPr="00DA2B76">
              <w:rPr>
                <w:sz w:val="24"/>
                <w:szCs w:val="24"/>
              </w:rPr>
              <w:t xml:space="preserve">Улянівський ЗДО </w:t>
            </w:r>
          </w:p>
          <w:p w:rsidR="00DE7F9B" w:rsidRPr="00DA2B76" w:rsidRDefault="00DE7F9B" w:rsidP="00860D38">
            <w:pPr>
              <w:rPr>
                <w:sz w:val="24"/>
                <w:szCs w:val="24"/>
              </w:rPr>
            </w:pPr>
            <w:r w:rsidRPr="00DA2B76">
              <w:rPr>
                <w:sz w:val="24"/>
                <w:szCs w:val="24"/>
              </w:rPr>
              <w:t>"Берізка"</w:t>
            </w:r>
          </w:p>
        </w:tc>
        <w:tc>
          <w:tcPr>
            <w:tcW w:w="5103" w:type="dxa"/>
          </w:tcPr>
          <w:p w:rsidR="00DE7F9B" w:rsidRPr="00DA2B76" w:rsidRDefault="00DE7F9B" w:rsidP="00860D38">
            <w:pPr>
              <w:rPr>
                <w:sz w:val="24"/>
                <w:szCs w:val="24"/>
              </w:rPr>
            </w:pPr>
            <w:r>
              <w:rPr>
                <w:sz w:val="24"/>
                <w:szCs w:val="24"/>
              </w:rPr>
              <w:t>вул. Шкільна, 2-</w:t>
            </w:r>
            <w:r>
              <w:rPr>
                <w:sz w:val="24"/>
                <w:szCs w:val="24"/>
                <w:lang w:val="uk-UA"/>
              </w:rPr>
              <w:t>Б</w:t>
            </w:r>
            <w:r w:rsidRPr="00DA2B76">
              <w:rPr>
                <w:sz w:val="24"/>
                <w:szCs w:val="24"/>
              </w:rPr>
              <w:t>,  с. Улянівка,             Олександрійський район Кіровоградська область, 28065</w:t>
            </w:r>
          </w:p>
        </w:tc>
        <w:tc>
          <w:tcPr>
            <w:tcW w:w="1146" w:type="dxa"/>
          </w:tcPr>
          <w:p w:rsidR="00DE7F9B" w:rsidRPr="00437185" w:rsidRDefault="00DE7F9B" w:rsidP="00860D38">
            <w:pPr>
              <w:rPr>
                <w:sz w:val="24"/>
                <w:szCs w:val="24"/>
                <w:lang w:val="uk-UA"/>
              </w:rPr>
            </w:pPr>
            <w:r w:rsidRPr="00437185">
              <w:rPr>
                <w:sz w:val="24"/>
                <w:szCs w:val="24"/>
                <w:lang w:val="uk-UA"/>
              </w:rPr>
              <w:t>40</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8</w:t>
            </w:r>
          </w:p>
        </w:tc>
        <w:tc>
          <w:tcPr>
            <w:tcW w:w="3428" w:type="dxa"/>
          </w:tcPr>
          <w:p w:rsidR="00DE7F9B" w:rsidRDefault="00DE7F9B" w:rsidP="00860D38">
            <w:pPr>
              <w:rPr>
                <w:sz w:val="24"/>
                <w:szCs w:val="24"/>
                <w:lang w:val="uk-UA"/>
              </w:rPr>
            </w:pPr>
            <w:r w:rsidRPr="00DA2B76">
              <w:rPr>
                <w:sz w:val="24"/>
                <w:szCs w:val="24"/>
              </w:rPr>
              <w:t>Червонокам’янський ЗДО</w:t>
            </w:r>
          </w:p>
          <w:p w:rsidR="00DE7F9B" w:rsidRPr="005B1A27" w:rsidRDefault="00DE7F9B" w:rsidP="00860D38">
            <w:pPr>
              <w:rPr>
                <w:sz w:val="24"/>
                <w:szCs w:val="24"/>
                <w:lang w:val="uk-UA"/>
              </w:rPr>
            </w:pPr>
            <w:r>
              <w:rPr>
                <w:sz w:val="24"/>
                <w:szCs w:val="24"/>
                <w:lang w:val="uk-UA"/>
              </w:rPr>
              <w:t>«Малятко»</w:t>
            </w:r>
          </w:p>
        </w:tc>
        <w:tc>
          <w:tcPr>
            <w:tcW w:w="5103" w:type="dxa"/>
          </w:tcPr>
          <w:p w:rsidR="00DE7F9B" w:rsidRPr="00DA2B76" w:rsidRDefault="00DE7F9B" w:rsidP="00860D38">
            <w:pPr>
              <w:rPr>
                <w:sz w:val="24"/>
                <w:szCs w:val="24"/>
              </w:rPr>
            </w:pPr>
            <w:r w:rsidRPr="00DA2B76">
              <w:rPr>
                <w:sz w:val="24"/>
                <w:szCs w:val="24"/>
              </w:rPr>
              <w:t xml:space="preserve">вул. </w:t>
            </w:r>
            <w:r w:rsidRPr="008304B0">
              <w:rPr>
                <w:sz w:val="24"/>
                <w:szCs w:val="24"/>
              </w:rPr>
              <w:t>Романовського</w:t>
            </w:r>
            <w:r w:rsidRPr="00DA2B76">
              <w:rPr>
                <w:sz w:val="24"/>
                <w:szCs w:val="24"/>
              </w:rPr>
              <w:t>, 2, с. Червона Кам'янка, Олександрійський район кіровоградська область, 28063</w:t>
            </w:r>
          </w:p>
        </w:tc>
        <w:tc>
          <w:tcPr>
            <w:tcW w:w="1146" w:type="dxa"/>
          </w:tcPr>
          <w:p w:rsidR="00DE7F9B" w:rsidRPr="00437185" w:rsidRDefault="00DE7F9B" w:rsidP="00860D38">
            <w:pPr>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9</w:t>
            </w:r>
          </w:p>
        </w:tc>
        <w:tc>
          <w:tcPr>
            <w:tcW w:w="3428" w:type="dxa"/>
          </w:tcPr>
          <w:p w:rsidR="00DE7F9B" w:rsidRPr="007659B0" w:rsidRDefault="00DE7F9B" w:rsidP="00860D38">
            <w:pPr>
              <w:rPr>
                <w:lang w:val="uk-UA"/>
              </w:rPr>
            </w:pPr>
            <w:r>
              <w:rPr>
                <w:sz w:val="24"/>
                <w:szCs w:val="24"/>
                <w:lang w:val="uk-UA"/>
              </w:rPr>
              <w:t xml:space="preserve">Підрозділ дошкільної освіти (ЗДО) </w:t>
            </w:r>
            <w:r w:rsidRPr="007659B0">
              <w:rPr>
                <w:sz w:val="24"/>
                <w:szCs w:val="24"/>
                <w:lang w:val="uk-UA"/>
              </w:rPr>
              <w:t>Щасливськ</w:t>
            </w:r>
            <w:r>
              <w:rPr>
                <w:sz w:val="24"/>
                <w:szCs w:val="24"/>
                <w:lang w:val="uk-UA"/>
              </w:rPr>
              <w:t>ої філії  Червонокам</w:t>
            </w:r>
            <w:r w:rsidRPr="007659B0">
              <w:rPr>
                <w:sz w:val="24"/>
                <w:szCs w:val="24"/>
                <w:lang w:val="uk-UA"/>
              </w:rPr>
              <w:t>’</w:t>
            </w:r>
            <w:r>
              <w:rPr>
                <w:sz w:val="24"/>
                <w:szCs w:val="24"/>
                <w:lang w:val="uk-UA"/>
              </w:rPr>
              <w:t>янського</w:t>
            </w:r>
            <w:r w:rsidRPr="007659B0">
              <w:rPr>
                <w:sz w:val="24"/>
                <w:szCs w:val="24"/>
                <w:lang w:val="uk-UA"/>
              </w:rPr>
              <w:t xml:space="preserve"> </w:t>
            </w:r>
            <w:r>
              <w:rPr>
                <w:sz w:val="24"/>
                <w:szCs w:val="24"/>
                <w:lang w:val="uk-UA"/>
              </w:rPr>
              <w:t>ліцею</w:t>
            </w:r>
          </w:p>
        </w:tc>
        <w:tc>
          <w:tcPr>
            <w:tcW w:w="5103" w:type="dxa"/>
          </w:tcPr>
          <w:p w:rsidR="00DE7F9B" w:rsidRPr="009B2C64" w:rsidRDefault="00DE7F9B" w:rsidP="00860D38">
            <w:pPr>
              <w:rPr>
                <w:sz w:val="24"/>
                <w:szCs w:val="24"/>
                <w:lang w:val="uk-UA"/>
              </w:rPr>
            </w:pPr>
            <w:r>
              <w:rPr>
                <w:sz w:val="24"/>
                <w:szCs w:val="24"/>
                <w:lang w:val="uk-UA"/>
              </w:rPr>
              <w:t>вул. Центральна, 15-А</w:t>
            </w:r>
            <w:r w:rsidRPr="009B2C64">
              <w:rPr>
                <w:sz w:val="24"/>
                <w:szCs w:val="24"/>
                <w:lang w:val="uk-UA"/>
              </w:rPr>
              <w:t xml:space="preserve">  с. Щасливе, Олександрійський район Кіровоградська область, 28055</w:t>
            </w:r>
          </w:p>
        </w:tc>
        <w:tc>
          <w:tcPr>
            <w:tcW w:w="1146" w:type="dxa"/>
          </w:tcPr>
          <w:p w:rsidR="00DE7F9B" w:rsidRPr="00437185" w:rsidRDefault="00DE7F9B" w:rsidP="00860D38">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BE2669" w:rsidRPr="00ED08E9" w:rsidRDefault="00BE2669" w:rsidP="00BE266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BE2669" w:rsidTr="007006D4">
        <w:tc>
          <w:tcPr>
            <w:tcW w:w="534" w:type="dxa"/>
          </w:tcPr>
          <w:p w:rsidR="00BE2669" w:rsidRPr="008A79AB" w:rsidRDefault="00BE2669" w:rsidP="007006D4">
            <w:pPr>
              <w:jc w:val="both"/>
              <w:rPr>
                <w:sz w:val="24"/>
                <w:szCs w:val="24"/>
                <w:lang w:val="uk-UA"/>
              </w:rPr>
            </w:pPr>
            <w:r w:rsidRPr="008A79AB">
              <w:rPr>
                <w:sz w:val="24"/>
                <w:szCs w:val="24"/>
                <w:lang w:val="uk-UA"/>
              </w:rPr>
              <w:t>№ п/п</w:t>
            </w:r>
          </w:p>
        </w:tc>
        <w:tc>
          <w:tcPr>
            <w:tcW w:w="2056" w:type="dxa"/>
          </w:tcPr>
          <w:p w:rsidR="00BE2669" w:rsidRPr="008A79AB" w:rsidRDefault="00BE2669" w:rsidP="007006D4">
            <w:pPr>
              <w:jc w:val="both"/>
              <w:rPr>
                <w:sz w:val="24"/>
                <w:szCs w:val="24"/>
                <w:lang w:val="uk-UA"/>
              </w:rPr>
            </w:pPr>
            <w:r w:rsidRPr="008A79AB">
              <w:rPr>
                <w:sz w:val="24"/>
                <w:szCs w:val="24"/>
                <w:lang w:val="uk-UA"/>
              </w:rPr>
              <w:t>Назва предмету закупівлі</w:t>
            </w:r>
          </w:p>
        </w:tc>
        <w:tc>
          <w:tcPr>
            <w:tcW w:w="779" w:type="dxa"/>
          </w:tcPr>
          <w:p w:rsidR="00BE2669" w:rsidRPr="008A79AB" w:rsidRDefault="00BE2669" w:rsidP="007006D4">
            <w:pPr>
              <w:jc w:val="both"/>
              <w:rPr>
                <w:sz w:val="24"/>
                <w:szCs w:val="24"/>
                <w:lang w:val="uk-UA"/>
              </w:rPr>
            </w:pPr>
            <w:r w:rsidRPr="008A79AB">
              <w:rPr>
                <w:sz w:val="24"/>
                <w:szCs w:val="24"/>
                <w:lang w:val="uk-UA"/>
              </w:rPr>
              <w:t>Одиниця виміру</w:t>
            </w:r>
          </w:p>
        </w:tc>
        <w:tc>
          <w:tcPr>
            <w:tcW w:w="1134" w:type="dxa"/>
          </w:tcPr>
          <w:p w:rsidR="00BE2669" w:rsidRPr="008A79AB" w:rsidRDefault="00BE2669" w:rsidP="007006D4">
            <w:pPr>
              <w:jc w:val="both"/>
              <w:rPr>
                <w:sz w:val="24"/>
                <w:szCs w:val="24"/>
                <w:lang w:val="uk-UA"/>
              </w:rPr>
            </w:pPr>
            <w:r w:rsidRPr="008A79AB">
              <w:rPr>
                <w:sz w:val="24"/>
                <w:szCs w:val="24"/>
                <w:lang w:val="uk-UA"/>
              </w:rPr>
              <w:t>кількість</w:t>
            </w:r>
          </w:p>
        </w:tc>
        <w:tc>
          <w:tcPr>
            <w:tcW w:w="5670" w:type="dxa"/>
          </w:tcPr>
          <w:p w:rsidR="00BE2669" w:rsidRPr="008A79AB" w:rsidRDefault="00BE2669" w:rsidP="007006D4">
            <w:pPr>
              <w:jc w:val="both"/>
              <w:rPr>
                <w:sz w:val="24"/>
                <w:szCs w:val="24"/>
                <w:lang w:val="uk-UA"/>
              </w:rPr>
            </w:pPr>
            <w:r w:rsidRPr="008A79AB">
              <w:rPr>
                <w:sz w:val="24"/>
                <w:szCs w:val="24"/>
                <w:lang w:val="uk-UA"/>
              </w:rPr>
              <w:t>Технічні характеристики</w:t>
            </w:r>
          </w:p>
        </w:tc>
      </w:tr>
      <w:tr w:rsidR="009A2535" w:rsidRPr="006554AD" w:rsidTr="007006D4">
        <w:tc>
          <w:tcPr>
            <w:tcW w:w="534" w:type="dxa"/>
          </w:tcPr>
          <w:p w:rsidR="009A2535" w:rsidRPr="008A79AB" w:rsidRDefault="009A2535" w:rsidP="007006D4">
            <w:pPr>
              <w:jc w:val="both"/>
              <w:rPr>
                <w:sz w:val="24"/>
                <w:szCs w:val="24"/>
                <w:lang w:val="uk-UA"/>
              </w:rPr>
            </w:pPr>
            <w:r w:rsidRPr="008A79AB">
              <w:rPr>
                <w:sz w:val="24"/>
                <w:szCs w:val="24"/>
                <w:lang w:val="uk-UA"/>
              </w:rPr>
              <w:t>1</w:t>
            </w:r>
          </w:p>
        </w:tc>
        <w:tc>
          <w:tcPr>
            <w:tcW w:w="2056" w:type="dxa"/>
          </w:tcPr>
          <w:p w:rsidR="009A2535" w:rsidRPr="002758D9" w:rsidRDefault="009A2535" w:rsidP="007006D4">
            <w:pPr>
              <w:jc w:val="both"/>
              <w:rPr>
                <w:sz w:val="24"/>
                <w:szCs w:val="24"/>
                <w:lang w:val="uk-UA"/>
              </w:rPr>
            </w:pPr>
            <w:r>
              <w:rPr>
                <w:sz w:val="24"/>
                <w:szCs w:val="24"/>
                <w:lang w:val="uk-UA"/>
              </w:rPr>
              <w:t>Риба свіжоморожена ХЕК</w:t>
            </w:r>
          </w:p>
        </w:tc>
        <w:tc>
          <w:tcPr>
            <w:tcW w:w="779" w:type="dxa"/>
          </w:tcPr>
          <w:p w:rsidR="009A2535" w:rsidRPr="008A79AB" w:rsidRDefault="009A2535" w:rsidP="007006D4">
            <w:pPr>
              <w:jc w:val="both"/>
              <w:rPr>
                <w:sz w:val="24"/>
                <w:szCs w:val="24"/>
                <w:lang w:val="uk-UA"/>
              </w:rPr>
            </w:pPr>
            <w:r>
              <w:rPr>
                <w:sz w:val="24"/>
                <w:szCs w:val="24"/>
                <w:lang w:val="uk-UA"/>
              </w:rPr>
              <w:t>кг</w:t>
            </w:r>
          </w:p>
        </w:tc>
        <w:tc>
          <w:tcPr>
            <w:tcW w:w="1134" w:type="dxa"/>
          </w:tcPr>
          <w:p w:rsidR="009A2535" w:rsidRPr="00711ADC" w:rsidRDefault="009A2535" w:rsidP="007006D4">
            <w:pPr>
              <w:jc w:val="both"/>
              <w:rPr>
                <w:sz w:val="24"/>
                <w:szCs w:val="24"/>
                <w:lang w:val="uk-UA"/>
              </w:rPr>
            </w:pPr>
            <w:r>
              <w:rPr>
                <w:sz w:val="24"/>
                <w:szCs w:val="24"/>
                <w:lang w:val="uk-UA"/>
              </w:rPr>
              <w:t>3241</w:t>
            </w:r>
          </w:p>
        </w:tc>
        <w:tc>
          <w:tcPr>
            <w:tcW w:w="5670" w:type="dxa"/>
          </w:tcPr>
          <w:p w:rsidR="009A2535" w:rsidRPr="00A8612D" w:rsidRDefault="009A2535" w:rsidP="007C0A5D">
            <w:pPr>
              <w:autoSpaceDE w:val="0"/>
              <w:autoSpaceDN w:val="0"/>
              <w:adjustRightInd w:val="0"/>
              <w:jc w:val="both"/>
              <w:rPr>
                <w:rFonts w:eastAsiaTheme="minorHAnsi"/>
                <w:sz w:val="24"/>
                <w:szCs w:val="24"/>
                <w:lang w:val="uk-UA"/>
              </w:rPr>
            </w:pPr>
            <w:r w:rsidRPr="00A8612D">
              <w:rPr>
                <w:rFonts w:eastAsiaTheme="minorHAnsi"/>
                <w:sz w:val="24"/>
                <w:szCs w:val="24"/>
                <w:lang w:val="uk-UA"/>
              </w:rPr>
              <w:t>Товар повинен відповідати - ДСТУ 4868:2007. Риба заморожена (33998) - ДСТУ 2641:2007 Продукти рибні. Пакування.</w:t>
            </w:r>
          </w:p>
          <w:p w:rsidR="009A2535" w:rsidRPr="00A8612D" w:rsidRDefault="009A2535" w:rsidP="007C0A5D">
            <w:pPr>
              <w:autoSpaceDE w:val="0"/>
              <w:autoSpaceDN w:val="0"/>
              <w:adjustRightInd w:val="0"/>
              <w:jc w:val="both"/>
              <w:rPr>
                <w:rFonts w:eastAsia="Arial Unicode MS" w:cs="Courier New"/>
                <w:kern w:val="1"/>
                <w:sz w:val="24"/>
                <w:szCs w:val="24"/>
                <w:lang w:val="uk-UA" w:eastAsia="hi-IN" w:bidi="hi-IN"/>
              </w:rPr>
            </w:pPr>
            <w:r w:rsidRPr="00A8612D">
              <w:rPr>
                <w:rFonts w:eastAsia="Arial Unicode MS" w:cs="Courier New"/>
                <w:kern w:val="1"/>
                <w:sz w:val="24"/>
                <w:szCs w:val="24"/>
                <w:lang w:val="uk-UA" w:eastAsia="hi-IN" w:bidi="hi-IN"/>
              </w:rPr>
              <w:t>Риба свіжоморожена Хек тушка розміром 25-30 см., випотрошений, без голови, фасований по 10 кг. в  коробах, ряди перемотані поліетиленовою плівкою, сухої заморозки. 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w:t>
            </w:r>
          </w:p>
          <w:p w:rsidR="009A2535" w:rsidRPr="00A8612D" w:rsidRDefault="009A2535" w:rsidP="007C0A5D">
            <w:pPr>
              <w:autoSpaceDE w:val="0"/>
              <w:autoSpaceDN w:val="0"/>
              <w:adjustRightInd w:val="0"/>
              <w:jc w:val="both"/>
              <w:rPr>
                <w:sz w:val="24"/>
                <w:szCs w:val="24"/>
                <w:lang w:val="uk-UA"/>
              </w:rPr>
            </w:pPr>
            <w:r w:rsidRPr="00A8612D">
              <w:rPr>
                <w:sz w:val="24"/>
                <w:szCs w:val="24"/>
                <w:lang w:val="uk-UA"/>
              </w:rPr>
              <w:t>Поверхня кожної одиниці товару ціла, рівна, чиста, не деформована, за кольором властива даному виду, без сторонніх запахів і присмаків. Запах (після розмороження чи варіння) – властивий свіжій рибі без стороннього запаху. У замороженій рибі не повинно бути живих гельмінтів та інших личинок, небезпечних для здоров’я людини.</w:t>
            </w:r>
          </w:p>
          <w:p w:rsidR="009A2535" w:rsidRPr="00A8612D" w:rsidRDefault="009A2535" w:rsidP="007C0A5D">
            <w:pPr>
              <w:autoSpaceDE w:val="0"/>
              <w:autoSpaceDN w:val="0"/>
              <w:adjustRightInd w:val="0"/>
              <w:jc w:val="both"/>
              <w:rPr>
                <w:rFonts w:eastAsiaTheme="minorHAnsi"/>
                <w:sz w:val="24"/>
                <w:szCs w:val="24"/>
                <w:lang w:val="uk-UA"/>
              </w:rPr>
            </w:pPr>
            <w:r w:rsidRPr="00A8612D">
              <w:rPr>
                <w:sz w:val="24"/>
                <w:szCs w:val="24"/>
                <w:lang w:val="uk-UA" w:eastAsia="uk-UA"/>
              </w:rPr>
              <w:t xml:space="preserve">Якість товару повинна відповідати вимогам відповідних діючих нормативних документів (ГОСТ, ДСТУ, ТУ тощо). Товар має бути запакований в ящики, обов’язкова наявність ярликів </w:t>
            </w:r>
            <w:r w:rsidRPr="00A8612D">
              <w:rPr>
                <w:sz w:val="24"/>
                <w:szCs w:val="24"/>
                <w:lang w:val="uk-UA" w:eastAsia="uk-UA"/>
              </w:rPr>
              <w:lastRenderedPageBreak/>
              <w:t>із зазначенням найменування продукту, виробника, дати виготовлення, терміну придатності, умов зберігання у відповідності до супровідних документів на поставку. Без ГМО, що має бути зазначено на упаковці</w:t>
            </w:r>
          </w:p>
          <w:p w:rsidR="009A2535" w:rsidRPr="00A8612D" w:rsidRDefault="009A2535" w:rsidP="007C0A5D">
            <w:pPr>
              <w:jc w:val="both"/>
              <w:rPr>
                <w:sz w:val="24"/>
                <w:szCs w:val="24"/>
                <w:lang w:val="uk-UA"/>
              </w:rPr>
            </w:pPr>
            <w:r w:rsidRPr="00A8612D">
              <w:rPr>
                <w:rFonts w:eastAsiaTheme="minorHAnsi"/>
                <w:sz w:val="24"/>
                <w:szCs w:val="24"/>
                <w:lang w:val="uk-UA"/>
              </w:rPr>
              <w:t>Термін придатності від загального терміну зберігання (передбаченого виробником) на час поставки товару – не менше 90%.</w:t>
            </w:r>
          </w:p>
        </w:tc>
      </w:tr>
    </w:tbl>
    <w:p w:rsidR="00292760" w:rsidRPr="00BE2669" w:rsidRDefault="00292760" w:rsidP="00FE4140">
      <w:pPr>
        <w:suppressAutoHyphens w:val="0"/>
        <w:autoSpaceDE w:val="0"/>
        <w:autoSpaceDN w:val="0"/>
        <w:adjustRightInd w:val="0"/>
        <w:jc w:val="both"/>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9A2535" w:rsidRPr="009B748E" w:rsidRDefault="009A2535" w:rsidP="009A2535">
      <w:pPr>
        <w:tabs>
          <w:tab w:val="left" w:pos="709"/>
        </w:tabs>
        <w:jc w:val="both"/>
        <w:rPr>
          <w:rFonts w:eastAsiaTheme="minorHAnsi"/>
          <w:b/>
          <w:lang w:val="uk-UA" w:eastAsia="en-US"/>
        </w:rPr>
      </w:pPr>
      <w:r>
        <w:rPr>
          <w:lang w:val="uk-UA"/>
        </w:rPr>
        <w:t>12</w:t>
      </w:r>
      <w:r w:rsidRPr="009B748E">
        <w:rPr>
          <w:b/>
          <w:lang w:val="uk-UA"/>
        </w:rPr>
        <w:t xml:space="preserve">.  </w:t>
      </w:r>
      <w:r w:rsidRPr="009B748E">
        <w:rPr>
          <w:rFonts w:eastAsiaTheme="minorHAnsi"/>
          <w:b/>
          <w:lang w:val="uk-UA" w:eastAsia="en-US"/>
        </w:rPr>
        <w:t>В складі пропозиції надати:</w:t>
      </w:r>
    </w:p>
    <w:p w:rsidR="009A2535" w:rsidRPr="00093BCA" w:rsidRDefault="009A2535" w:rsidP="009A2535">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A2535" w:rsidRPr="009B748E" w:rsidRDefault="009A2535" w:rsidP="009A2535">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w:t>
      </w:r>
      <w:r w:rsidRPr="009B748E">
        <w:rPr>
          <w:color w:val="000000"/>
          <w:lang w:val="uk-UA"/>
        </w:rPr>
        <w:lastRenderedPageBreak/>
        <w:t xml:space="preserve">лабораторних досліджень (протокол, висновок тощо), на складське приміщення, тару, піддони та автотранспортний засіб на ім»я учасника. </w:t>
      </w:r>
    </w:p>
    <w:p w:rsidR="009A2535" w:rsidRPr="00853F1D" w:rsidRDefault="009A2535" w:rsidP="009A2535">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акредитованою лабораторією не раніше 2022 року, щодо вимірювання потужності гамма-випромінювання (радіологічний контроль) в транспортних засобах, , та підтверджує іх відповідність вимогам НРБУ-97/2000 «Норми радіаційної безпеки України»</w:t>
      </w:r>
      <w:r>
        <w:rPr>
          <w:color w:val="000000"/>
          <w:lang w:val="uk-UA"/>
        </w:rPr>
        <w:t>.</w:t>
      </w:r>
    </w:p>
    <w:p w:rsidR="009A2535" w:rsidRPr="00B8245C" w:rsidRDefault="009A2535" w:rsidP="009A2535">
      <w:pPr>
        <w:pStyle w:val="a3"/>
        <w:numPr>
          <w:ilvl w:val="1"/>
          <w:numId w:val="20"/>
        </w:numPr>
        <w:suppressAutoHyphens w:val="0"/>
        <w:ind w:left="0" w:firstLine="0"/>
        <w:contextualSpacing/>
        <w:jc w:val="both"/>
        <w:rPr>
          <w:lang w:val="uk-UA"/>
        </w:rPr>
      </w:pPr>
      <w:r w:rsidRPr="00B8245C">
        <w:rPr>
          <w:color w:val="000000"/>
          <w:shd w:val="clear" w:color="auto" w:fill="FFFFFF"/>
          <w:lang w:val="uk-UA"/>
        </w:rPr>
        <w:t>Експертний висновок регіональної державної лабораторії ветеринарної медицини на показники безпеки, виданий не раніше 2022 року.</w:t>
      </w:r>
    </w:p>
    <w:p w:rsidR="009A2535" w:rsidRPr="0064188B" w:rsidRDefault="009A2535" w:rsidP="009A2535">
      <w:pPr>
        <w:pStyle w:val="a3"/>
        <w:numPr>
          <w:ilvl w:val="1"/>
          <w:numId w:val="20"/>
        </w:numPr>
        <w:suppressAutoHyphens w:val="0"/>
        <w:ind w:left="0" w:firstLine="0"/>
        <w:contextualSpacing/>
        <w:jc w:val="both"/>
        <w:rPr>
          <w:lang w:val="uk-UA"/>
        </w:rPr>
      </w:pPr>
      <w:r>
        <w:rPr>
          <w:lang w:val="uk-UA"/>
        </w:rPr>
        <w:t>Скан-копію</w:t>
      </w:r>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9A2535" w:rsidRPr="00545811" w:rsidRDefault="009A2535" w:rsidP="009A2535">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A2535" w:rsidRPr="009B748E" w:rsidRDefault="009A2535" w:rsidP="009A2535">
      <w:pPr>
        <w:pStyle w:val="a3"/>
        <w:numPr>
          <w:ilvl w:val="1"/>
          <w:numId w:val="20"/>
        </w:numPr>
        <w:suppressAutoHyphens w:val="0"/>
        <w:ind w:left="0" w:firstLine="0"/>
        <w:contextualSpacing/>
        <w:jc w:val="both"/>
        <w:rPr>
          <w:lang w:val="uk-UA"/>
        </w:rPr>
      </w:pPr>
      <w:r w:rsidRPr="009B748E">
        <w:rPr>
          <w:color w:val="000000"/>
          <w:lang w:val="uk-UA"/>
        </w:rPr>
        <w:t>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вагів, що видане акредитованою лабораторією .Надати Свідоцтво про уповноваження повірочної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A2535" w:rsidRPr="009B748E" w:rsidRDefault="009A2535" w:rsidP="009A2535">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(-ть)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A2535" w:rsidRPr="00351C9B" w:rsidRDefault="009A2535" w:rsidP="009A2535">
      <w:pPr>
        <w:pStyle w:val="a3"/>
        <w:numPr>
          <w:ilvl w:val="1"/>
          <w:numId w:val="20"/>
        </w:numPr>
        <w:suppressAutoHyphens w:val="0"/>
        <w:ind w:left="0" w:firstLine="0"/>
        <w:contextualSpacing/>
        <w:jc w:val="both"/>
        <w:rPr>
          <w:lang w:val="uk-UA"/>
        </w:rPr>
      </w:pPr>
      <w:r w:rsidRPr="00351C9B">
        <w:rPr>
          <w:color w:val="000000"/>
          <w:lang w:val="uk-UA"/>
        </w:rPr>
        <w:t>Сертифікат, що підтверджує застосування учасником вимог ДСТУ ISО 14001:2015 Системи екологічного управління,</w:t>
      </w:r>
      <w:r w:rsidRPr="00351C9B">
        <w:rPr>
          <w:color w:val="000000"/>
          <w:sz w:val="27"/>
          <w:szCs w:val="27"/>
          <w:lang w:val="uk-UA"/>
        </w:rPr>
        <w:t xml:space="preserve"> </w:t>
      </w:r>
      <w:r w:rsidRPr="00351C9B">
        <w:rPr>
          <w:color w:val="000000"/>
          <w:lang w:val="uk-UA"/>
        </w:rPr>
        <w:t xml:space="preserve">документ, має бути виданий органом з сертифікації, акредитованого НААУ. </w:t>
      </w:r>
    </w:p>
    <w:p w:rsidR="009A2535" w:rsidRPr="00351C9B" w:rsidRDefault="009A2535" w:rsidP="009A2535">
      <w:pPr>
        <w:pStyle w:val="a3"/>
        <w:numPr>
          <w:ilvl w:val="1"/>
          <w:numId w:val="20"/>
        </w:numPr>
        <w:suppressAutoHyphens w:val="0"/>
        <w:ind w:left="0" w:firstLine="0"/>
        <w:contextualSpacing/>
        <w:jc w:val="both"/>
        <w:rPr>
          <w:lang w:val="uk-UA"/>
        </w:rPr>
      </w:pPr>
      <w:r w:rsidRPr="00351C9B">
        <w:rPr>
          <w:lang w:val="uk-UA"/>
        </w:rPr>
        <w:t>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тендерених пропозицій.</w:t>
      </w:r>
    </w:p>
    <w:p w:rsidR="00545811" w:rsidRDefault="009A2535" w:rsidP="009A2535">
      <w:pPr>
        <w:pStyle w:val="a3"/>
        <w:suppressAutoHyphens w:val="0"/>
        <w:ind w:left="0"/>
        <w:contextualSpacing/>
        <w:jc w:val="both"/>
        <w:rPr>
          <w:lang w:val="uk-UA"/>
        </w:rPr>
      </w:pPr>
      <w:r w:rsidRPr="009B748E">
        <w:rPr>
          <w:lang w:val="uk-UA"/>
        </w:rPr>
        <w:t>Акт Держпродспоживслужби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(ого) засобів (у), що використовуються Учасником, а також з відміткою про впровадження системи НАССР.</w:t>
      </w:r>
      <w:r w:rsidRPr="0064188B">
        <w:rPr>
          <w:lang w:val="uk-UA"/>
        </w:rPr>
        <w:t xml:space="preserve">  </w:t>
      </w:r>
    </w:p>
    <w:p w:rsidR="00545811" w:rsidRPr="00545811" w:rsidRDefault="00545811" w:rsidP="00545811">
      <w:pPr>
        <w:pStyle w:val="a3"/>
        <w:suppressAutoHyphens w:val="0"/>
        <w:ind w:left="0"/>
        <w:contextualSpacing/>
        <w:jc w:val="both"/>
        <w:rPr>
          <w:lang w:val="uk-UA"/>
        </w:rPr>
      </w:pPr>
    </w:p>
    <w:p w:rsidR="00432451" w:rsidRPr="001239C2" w:rsidRDefault="00A21BD0" w:rsidP="009A2535">
      <w:pPr>
        <w:suppressAutoHyphens w:val="0"/>
        <w:autoSpaceDE w:val="0"/>
        <w:autoSpaceDN w:val="0"/>
        <w:adjustRightInd w:val="0"/>
        <w:jc w:val="both"/>
        <w:rPr>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r w:rsidR="00996817" w:rsidRPr="001239C2">
        <w:rPr>
          <w:lang w:val="uk-UA"/>
        </w:rPr>
        <w:t xml:space="preserve"> </w:t>
      </w:r>
    </w:p>
    <w:sectPr w:rsidR="00432451" w:rsidRPr="001239C2" w:rsidSect="009A2535">
      <w:pgSz w:w="11906" w:h="16838"/>
      <w:pgMar w:top="851" w:right="566" w:bottom="56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6817"/>
    <w:rsid w:val="00015879"/>
    <w:rsid w:val="000313CE"/>
    <w:rsid w:val="0004590F"/>
    <w:rsid w:val="0007534F"/>
    <w:rsid w:val="00093BCA"/>
    <w:rsid w:val="000A3484"/>
    <w:rsid w:val="000D28DF"/>
    <w:rsid w:val="000E14EC"/>
    <w:rsid w:val="001153CA"/>
    <w:rsid w:val="001177E2"/>
    <w:rsid w:val="0012147D"/>
    <w:rsid w:val="001239C2"/>
    <w:rsid w:val="0012743A"/>
    <w:rsid w:val="00162F1E"/>
    <w:rsid w:val="0016400E"/>
    <w:rsid w:val="00174798"/>
    <w:rsid w:val="00181857"/>
    <w:rsid w:val="00183A2D"/>
    <w:rsid w:val="00193EEB"/>
    <w:rsid w:val="001B1EB5"/>
    <w:rsid w:val="001C0E53"/>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C3E66"/>
    <w:rsid w:val="003E7476"/>
    <w:rsid w:val="00405282"/>
    <w:rsid w:val="00407F1B"/>
    <w:rsid w:val="004130CC"/>
    <w:rsid w:val="00415DE4"/>
    <w:rsid w:val="00431D07"/>
    <w:rsid w:val="00432451"/>
    <w:rsid w:val="00442664"/>
    <w:rsid w:val="00446670"/>
    <w:rsid w:val="0047093A"/>
    <w:rsid w:val="00473F16"/>
    <w:rsid w:val="004A6D53"/>
    <w:rsid w:val="004B57B0"/>
    <w:rsid w:val="004B64D6"/>
    <w:rsid w:val="004C2641"/>
    <w:rsid w:val="004C7F66"/>
    <w:rsid w:val="004D1511"/>
    <w:rsid w:val="004F238E"/>
    <w:rsid w:val="0051302C"/>
    <w:rsid w:val="00534D98"/>
    <w:rsid w:val="00534F17"/>
    <w:rsid w:val="00545811"/>
    <w:rsid w:val="00552739"/>
    <w:rsid w:val="005808CF"/>
    <w:rsid w:val="00592DDF"/>
    <w:rsid w:val="005B1A27"/>
    <w:rsid w:val="005C6E24"/>
    <w:rsid w:val="005D4CD7"/>
    <w:rsid w:val="005D7B5E"/>
    <w:rsid w:val="00622CF5"/>
    <w:rsid w:val="0064188B"/>
    <w:rsid w:val="00644411"/>
    <w:rsid w:val="00650EB1"/>
    <w:rsid w:val="00653D20"/>
    <w:rsid w:val="00670300"/>
    <w:rsid w:val="0068162C"/>
    <w:rsid w:val="00687CC6"/>
    <w:rsid w:val="006B0301"/>
    <w:rsid w:val="006B745D"/>
    <w:rsid w:val="006E4E43"/>
    <w:rsid w:val="006E7E11"/>
    <w:rsid w:val="006F54F1"/>
    <w:rsid w:val="007213CF"/>
    <w:rsid w:val="00727BB7"/>
    <w:rsid w:val="00732B77"/>
    <w:rsid w:val="007659B0"/>
    <w:rsid w:val="00773BA2"/>
    <w:rsid w:val="00784141"/>
    <w:rsid w:val="00796799"/>
    <w:rsid w:val="00806819"/>
    <w:rsid w:val="00814599"/>
    <w:rsid w:val="00820A4C"/>
    <w:rsid w:val="008211B5"/>
    <w:rsid w:val="00821BAD"/>
    <w:rsid w:val="0085257F"/>
    <w:rsid w:val="00875E7E"/>
    <w:rsid w:val="008810BA"/>
    <w:rsid w:val="00881C62"/>
    <w:rsid w:val="008A79AB"/>
    <w:rsid w:val="008B2086"/>
    <w:rsid w:val="00904428"/>
    <w:rsid w:val="00905245"/>
    <w:rsid w:val="0090676B"/>
    <w:rsid w:val="009141EF"/>
    <w:rsid w:val="0091617F"/>
    <w:rsid w:val="00922AA6"/>
    <w:rsid w:val="0092767C"/>
    <w:rsid w:val="009414E7"/>
    <w:rsid w:val="009460D8"/>
    <w:rsid w:val="00954764"/>
    <w:rsid w:val="00986EB5"/>
    <w:rsid w:val="009937E6"/>
    <w:rsid w:val="00996817"/>
    <w:rsid w:val="009A2535"/>
    <w:rsid w:val="009B2C64"/>
    <w:rsid w:val="009B748E"/>
    <w:rsid w:val="009C549B"/>
    <w:rsid w:val="009D5A4C"/>
    <w:rsid w:val="009E6A4C"/>
    <w:rsid w:val="00A21BD0"/>
    <w:rsid w:val="00A61B7F"/>
    <w:rsid w:val="00A75233"/>
    <w:rsid w:val="00AB2B45"/>
    <w:rsid w:val="00AB4DE0"/>
    <w:rsid w:val="00AC2F50"/>
    <w:rsid w:val="00B011D4"/>
    <w:rsid w:val="00B124FF"/>
    <w:rsid w:val="00B3396D"/>
    <w:rsid w:val="00B35742"/>
    <w:rsid w:val="00B42171"/>
    <w:rsid w:val="00B61382"/>
    <w:rsid w:val="00B61607"/>
    <w:rsid w:val="00B61E35"/>
    <w:rsid w:val="00B93D02"/>
    <w:rsid w:val="00BB4B3A"/>
    <w:rsid w:val="00BB6BBB"/>
    <w:rsid w:val="00BB7ECD"/>
    <w:rsid w:val="00BC782F"/>
    <w:rsid w:val="00BD5453"/>
    <w:rsid w:val="00BD59FD"/>
    <w:rsid w:val="00BE0DFE"/>
    <w:rsid w:val="00BE19EF"/>
    <w:rsid w:val="00BE2669"/>
    <w:rsid w:val="00C154EF"/>
    <w:rsid w:val="00C20195"/>
    <w:rsid w:val="00C372ED"/>
    <w:rsid w:val="00C41220"/>
    <w:rsid w:val="00C525B4"/>
    <w:rsid w:val="00C90365"/>
    <w:rsid w:val="00CA3E4E"/>
    <w:rsid w:val="00CA6CAA"/>
    <w:rsid w:val="00CD32DB"/>
    <w:rsid w:val="00D0370E"/>
    <w:rsid w:val="00D31541"/>
    <w:rsid w:val="00D324C0"/>
    <w:rsid w:val="00D50168"/>
    <w:rsid w:val="00D642DC"/>
    <w:rsid w:val="00D713F2"/>
    <w:rsid w:val="00D80F83"/>
    <w:rsid w:val="00D9279B"/>
    <w:rsid w:val="00DB7177"/>
    <w:rsid w:val="00DE5503"/>
    <w:rsid w:val="00DE6E74"/>
    <w:rsid w:val="00DE7F9B"/>
    <w:rsid w:val="00DF0EDC"/>
    <w:rsid w:val="00E12DC9"/>
    <w:rsid w:val="00E20B45"/>
    <w:rsid w:val="00E23BB0"/>
    <w:rsid w:val="00E43347"/>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31E95"/>
    <w:rsid w:val="00F368A7"/>
    <w:rsid w:val="00F84EA7"/>
    <w:rsid w:val="00FA27F0"/>
    <w:rsid w:val="00FB0398"/>
    <w:rsid w:val="00FC6EBE"/>
    <w:rsid w:val="00FD0615"/>
    <w:rsid w:val="00FE18FB"/>
    <w:rsid w:val="00FE4140"/>
    <w:rsid w:val="00FF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B0301"/>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B0301"/>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1928</Words>
  <Characters>10991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cp:revision>
  <cp:lastPrinted>2023-08-24T12:19:00Z</cp:lastPrinted>
  <dcterms:created xsi:type="dcterms:W3CDTF">2023-11-20T11:45:00Z</dcterms:created>
  <dcterms:modified xsi:type="dcterms:W3CDTF">2023-11-20T11:45:00Z</dcterms:modified>
</cp:coreProperties>
</file>