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F2" w:rsidRDefault="00D713F2" w:rsidP="00D713F2">
      <w:pPr>
        <w:tabs>
          <w:tab w:val="left" w:pos="336"/>
        </w:tabs>
        <w:jc w:val="right"/>
        <w:rPr>
          <w:b/>
          <w:color w:val="000000"/>
          <w:lang w:val="uk-UA"/>
        </w:rPr>
      </w:pPr>
    </w:p>
    <w:p w:rsidR="00E952D6" w:rsidRDefault="00BB6BBB" w:rsidP="00D713F2">
      <w:pPr>
        <w:tabs>
          <w:tab w:val="left" w:pos="336"/>
        </w:tabs>
        <w:jc w:val="right"/>
        <w:rPr>
          <w:b/>
          <w:color w:val="000000"/>
          <w:lang w:val="uk-UA"/>
        </w:rPr>
      </w:pPr>
      <w:r>
        <w:rPr>
          <w:b/>
          <w:color w:val="000000"/>
          <w:lang w:val="uk-UA"/>
        </w:rPr>
        <w:t>ДОДАТОК</w:t>
      </w:r>
      <w:r w:rsidR="00E952D6">
        <w:rPr>
          <w:b/>
          <w:color w:val="000000"/>
          <w:lang w:val="uk-UA"/>
        </w:rPr>
        <w:t xml:space="preserve"> 2</w:t>
      </w:r>
    </w:p>
    <w:p w:rsidR="00BB6BBB" w:rsidRPr="00BB6BBB" w:rsidRDefault="00BB6BBB" w:rsidP="00D713F2">
      <w:pPr>
        <w:tabs>
          <w:tab w:val="left" w:pos="336"/>
        </w:tabs>
        <w:jc w:val="right"/>
        <w:rPr>
          <w:i/>
          <w:color w:val="000000"/>
          <w:lang w:val="uk-UA"/>
        </w:rPr>
      </w:pPr>
      <w:r>
        <w:rPr>
          <w:i/>
          <w:color w:val="000000"/>
          <w:lang w:val="uk-UA"/>
        </w:rPr>
        <w:t>д</w:t>
      </w:r>
      <w:r w:rsidRPr="00BB6BBB">
        <w:rPr>
          <w:i/>
          <w:color w:val="000000"/>
          <w:lang w:val="uk-UA"/>
        </w:rPr>
        <w:t>о тендерної  документації</w:t>
      </w:r>
    </w:p>
    <w:p w:rsidR="00E952D6" w:rsidRDefault="00E952D6" w:rsidP="00E952D6">
      <w:pPr>
        <w:ind w:left="-900" w:right="-365"/>
        <w:jc w:val="center"/>
        <w:rPr>
          <w:b/>
          <w:bCs/>
          <w:kern w:val="1"/>
          <w:lang w:eastAsia="ru-RU"/>
        </w:rPr>
      </w:pPr>
      <w:r>
        <w:rPr>
          <w:b/>
          <w:bCs/>
          <w:kern w:val="1"/>
          <w:lang w:eastAsia="ru-RU"/>
        </w:rPr>
        <w:t xml:space="preserve">ТЕХНІЧНА </w:t>
      </w:r>
      <w:proofErr w:type="gramStart"/>
      <w:r>
        <w:rPr>
          <w:b/>
          <w:bCs/>
          <w:kern w:val="1"/>
          <w:lang w:eastAsia="ru-RU"/>
        </w:rPr>
        <w:t>СПЕЦ</w:t>
      </w:r>
      <w:proofErr w:type="gramEnd"/>
      <w:r>
        <w:rPr>
          <w:b/>
          <w:bCs/>
          <w:kern w:val="1"/>
          <w:lang w:eastAsia="ru-RU"/>
        </w:rPr>
        <w:t>ІФІКАЦІЯ</w:t>
      </w:r>
    </w:p>
    <w:p w:rsidR="00E952D6" w:rsidRPr="00E952D6" w:rsidRDefault="00E952D6" w:rsidP="00E952D6">
      <w:pPr>
        <w:ind w:left="-900" w:right="-365"/>
        <w:jc w:val="center"/>
        <w:rPr>
          <w:b/>
          <w:bCs/>
          <w:kern w:val="1"/>
          <w:lang w:val="uk-UA" w:eastAsia="ru-RU"/>
        </w:rPr>
      </w:pPr>
      <w:r w:rsidRPr="00E952D6">
        <w:rPr>
          <w:b/>
          <w:bCs/>
          <w:kern w:val="1"/>
          <w:lang w:val="uk-UA" w:eastAsia="ru-RU"/>
        </w:rPr>
        <w:t>щодо технічних,  якісних та кількісних характеристик предмета закупівлі</w:t>
      </w:r>
    </w:p>
    <w:p w:rsidR="00E952D6" w:rsidRPr="00E952D6" w:rsidRDefault="00E952D6" w:rsidP="00E952D6">
      <w:pPr>
        <w:ind w:left="-900" w:right="-365"/>
        <w:jc w:val="center"/>
        <w:rPr>
          <w:bCs/>
          <w:kern w:val="1"/>
          <w:lang w:val="uk-UA" w:eastAsia="ru-RU"/>
        </w:rPr>
      </w:pPr>
    </w:p>
    <w:p w:rsidR="00E952D6" w:rsidRPr="00E952D6" w:rsidRDefault="00E952D6" w:rsidP="00E952D6">
      <w:pPr>
        <w:spacing w:before="20" w:after="40"/>
        <w:jc w:val="both"/>
        <w:rPr>
          <w:bCs/>
          <w:kern w:val="1"/>
          <w:lang w:val="uk-UA"/>
        </w:rPr>
      </w:pPr>
      <w:r w:rsidRPr="00E952D6">
        <w:rPr>
          <w:bCs/>
          <w:kern w:val="1"/>
          <w:lang w:val="uk-UA"/>
        </w:rPr>
        <w:t xml:space="preserve">1. Найменування предмета закупівлі – </w:t>
      </w:r>
      <w:proofErr w:type="spellStart"/>
      <w:r w:rsidRPr="009B748E">
        <w:rPr>
          <w:rFonts w:eastAsiaTheme="minorHAnsi"/>
          <w:b/>
          <w:lang w:val="uk-UA" w:eastAsia="en-US"/>
        </w:rPr>
        <w:t>ДК</w:t>
      </w:r>
      <w:proofErr w:type="spellEnd"/>
      <w:r w:rsidRPr="009B748E">
        <w:rPr>
          <w:rFonts w:eastAsiaTheme="minorHAnsi"/>
          <w:b/>
          <w:lang w:val="uk-UA" w:eastAsia="en-US"/>
        </w:rPr>
        <w:t xml:space="preserve"> 021:2015 </w:t>
      </w:r>
      <w:r w:rsidR="005079E5">
        <w:rPr>
          <w:rFonts w:eastAsiaTheme="minorHAnsi"/>
          <w:b/>
          <w:lang w:val="uk-UA" w:eastAsia="en-US"/>
        </w:rPr>
        <w:t>15110000-2</w:t>
      </w:r>
      <w:r w:rsidR="005079E5" w:rsidRPr="00CA4224">
        <w:rPr>
          <w:rFonts w:eastAsiaTheme="minorHAnsi"/>
          <w:b/>
          <w:lang w:val="uk-UA" w:eastAsia="en-US"/>
        </w:rPr>
        <w:t xml:space="preserve"> – </w:t>
      </w:r>
      <w:r w:rsidR="005079E5">
        <w:rPr>
          <w:rFonts w:eastAsia="Calibri"/>
          <w:b/>
          <w:lang w:val="uk-UA" w:eastAsia="ru-RU"/>
        </w:rPr>
        <w:t xml:space="preserve">М'ясо </w:t>
      </w:r>
      <w:r w:rsidR="005079E5" w:rsidRPr="00CA4224">
        <w:rPr>
          <w:rFonts w:eastAsia="Calibri"/>
          <w:b/>
          <w:lang w:val="uk-UA" w:eastAsia="ru-RU"/>
        </w:rPr>
        <w:t>(</w:t>
      </w:r>
      <w:r w:rsidR="005079E5">
        <w:rPr>
          <w:rFonts w:eastAsia="Calibri"/>
          <w:b/>
          <w:lang w:val="uk-UA" w:eastAsia="ru-RU"/>
        </w:rPr>
        <w:t>свинина пісна і філе птиці</w:t>
      </w:r>
      <w:r w:rsidR="005079E5" w:rsidRPr="009B748E">
        <w:rPr>
          <w:rFonts w:eastAsia="Calibri"/>
          <w:b/>
          <w:lang w:val="uk-UA" w:eastAsia="ru-RU"/>
        </w:rPr>
        <w:t xml:space="preserve"> </w:t>
      </w:r>
      <w:r w:rsidRPr="009B748E">
        <w:rPr>
          <w:rFonts w:eastAsia="Calibri"/>
          <w:b/>
          <w:lang w:val="uk-UA" w:eastAsia="ru-RU"/>
        </w:rPr>
        <w:t>для</w:t>
      </w:r>
      <w:r w:rsidRPr="009B748E">
        <w:rPr>
          <w:b/>
          <w:bCs/>
          <w:lang w:val="uk-UA"/>
        </w:rPr>
        <w:t xml:space="preserve"> закладів освіти)</w:t>
      </w:r>
      <w:r w:rsidRPr="00E952D6">
        <w:rPr>
          <w:bCs/>
          <w:lang w:val="uk-UA"/>
        </w:rPr>
        <w:t xml:space="preserve"> </w:t>
      </w:r>
      <w:r w:rsidRPr="00E952D6">
        <w:rPr>
          <w:bCs/>
          <w:kern w:val="1"/>
          <w:lang w:val="uk-UA"/>
        </w:rPr>
        <w:t xml:space="preserve"> (далі - Товар).</w:t>
      </w:r>
    </w:p>
    <w:p w:rsidR="00E952D6" w:rsidRPr="00E952D6" w:rsidRDefault="00E952D6" w:rsidP="00E952D6">
      <w:pPr>
        <w:jc w:val="both"/>
        <w:rPr>
          <w:bCs/>
          <w:kern w:val="1"/>
          <w:lang w:val="uk-UA"/>
        </w:rPr>
      </w:pPr>
      <w:r w:rsidRPr="00E952D6">
        <w:rPr>
          <w:bCs/>
          <w:kern w:val="1"/>
          <w:lang w:val="uk-UA"/>
        </w:rPr>
        <w:t>2. За</w:t>
      </w:r>
      <w:r w:rsidR="00B124FF">
        <w:rPr>
          <w:bCs/>
          <w:kern w:val="1"/>
          <w:lang w:val="uk-UA"/>
        </w:rPr>
        <w:t xml:space="preserve">гальний обсяг поставки товару: </w:t>
      </w:r>
      <w:r w:rsidR="005079E5">
        <w:rPr>
          <w:b/>
          <w:bCs/>
          <w:kern w:val="1"/>
          <w:lang w:val="uk-UA"/>
        </w:rPr>
        <w:t>3344,895</w:t>
      </w:r>
      <w:r w:rsidRPr="009B748E">
        <w:rPr>
          <w:b/>
          <w:bCs/>
          <w:kern w:val="1"/>
          <w:lang w:val="uk-UA"/>
        </w:rPr>
        <w:t xml:space="preserve"> кг..</w:t>
      </w:r>
    </w:p>
    <w:p w:rsidR="00E952D6" w:rsidRPr="009B748E" w:rsidRDefault="00E952D6" w:rsidP="00E952D6">
      <w:pPr>
        <w:jc w:val="both"/>
        <w:rPr>
          <w:b/>
          <w:bCs/>
          <w:kern w:val="1"/>
          <w:lang w:val="uk-UA"/>
        </w:rPr>
      </w:pPr>
      <w:r w:rsidRPr="00E952D6">
        <w:rPr>
          <w:bCs/>
          <w:kern w:val="1"/>
          <w:lang w:val="uk-UA"/>
        </w:rPr>
        <w:t xml:space="preserve">3. Строк поставки товару: </w:t>
      </w:r>
      <w:r w:rsidR="000D28DF" w:rsidRPr="009B748E">
        <w:rPr>
          <w:b/>
          <w:bCs/>
          <w:kern w:val="1"/>
          <w:lang w:val="uk-UA"/>
        </w:rPr>
        <w:t>до 31.12.2023</w:t>
      </w:r>
      <w:r w:rsidRPr="009B748E">
        <w:rPr>
          <w:b/>
          <w:bCs/>
          <w:kern w:val="1"/>
          <w:lang w:val="uk-UA"/>
        </w:rPr>
        <w:t xml:space="preserve"> року.</w:t>
      </w:r>
    </w:p>
    <w:p w:rsidR="00BB4B3A" w:rsidRDefault="00E952D6" w:rsidP="00BB4B3A">
      <w:pPr>
        <w:jc w:val="both"/>
        <w:rPr>
          <w:lang w:val="uk-UA"/>
        </w:rPr>
      </w:pPr>
      <w:r w:rsidRPr="00E952D6">
        <w:rPr>
          <w:bCs/>
          <w:kern w:val="1"/>
          <w:lang w:val="uk-UA"/>
        </w:rPr>
        <w:t xml:space="preserve">4. </w:t>
      </w:r>
      <w:r w:rsidR="00BB4B3A" w:rsidRPr="00E952D6">
        <w:rPr>
          <w:lang w:val="uk-UA"/>
        </w:rPr>
        <w:t xml:space="preserve">Термін поставки: </w:t>
      </w:r>
      <w:r w:rsidR="005C0487" w:rsidRPr="002265BB">
        <w:rPr>
          <w:lang w:val="uk-UA"/>
        </w:rPr>
        <w:t>три</w:t>
      </w:r>
      <w:r w:rsidR="005C0487">
        <w:rPr>
          <w:lang w:val="uk-UA"/>
        </w:rPr>
        <w:t xml:space="preserve"> </w:t>
      </w:r>
      <w:r w:rsidR="005C0487" w:rsidRPr="00E952D6">
        <w:rPr>
          <w:lang w:val="uk-UA"/>
        </w:rPr>
        <w:t>раз</w:t>
      </w:r>
      <w:r w:rsidR="005C0487">
        <w:rPr>
          <w:lang w:val="uk-UA"/>
        </w:rPr>
        <w:t>и на тиждень</w:t>
      </w:r>
      <w:r w:rsidR="005C0487" w:rsidRPr="00E952D6">
        <w:rPr>
          <w:lang w:val="uk-UA"/>
        </w:rPr>
        <w:t xml:space="preserve"> (зг</w:t>
      </w:r>
      <w:r w:rsidR="005C0487">
        <w:rPr>
          <w:lang w:val="uk-UA"/>
        </w:rPr>
        <w:t xml:space="preserve">ідно заявок) </w:t>
      </w:r>
      <w:r w:rsidR="00BB4B3A">
        <w:rPr>
          <w:lang w:val="uk-UA"/>
        </w:rPr>
        <w:t xml:space="preserve">  в робочі дні  з 06 – 00 до 15</w:t>
      </w:r>
      <w:r w:rsidR="00BB4B3A" w:rsidRPr="00E952D6">
        <w:rPr>
          <w:lang w:val="uk-UA"/>
        </w:rPr>
        <w:t xml:space="preserve">-00 год. </w:t>
      </w:r>
    </w:p>
    <w:p w:rsidR="00E952D6" w:rsidRPr="00E952D6" w:rsidRDefault="00E952D6" w:rsidP="00E952D6">
      <w:pPr>
        <w:jc w:val="both"/>
        <w:rPr>
          <w:bCs/>
          <w:lang w:val="uk-UA"/>
        </w:rPr>
      </w:pPr>
      <w:r w:rsidRPr="00E952D6">
        <w:rPr>
          <w:lang w:val="uk-UA"/>
        </w:rPr>
        <w:t xml:space="preserve">Товар повинен </w:t>
      </w:r>
      <w:r w:rsidRPr="00E952D6">
        <w:rPr>
          <w:bCs/>
          <w:lang w:val="uk-UA"/>
        </w:rPr>
        <w:t>своєчасно постачатися до кожного окремого закладу освіти.</w:t>
      </w:r>
    </w:p>
    <w:p w:rsidR="00BB4B3A" w:rsidRDefault="00E952D6" w:rsidP="00BB4B3A">
      <w:pPr>
        <w:jc w:val="both"/>
        <w:textAlignment w:val="baseline"/>
        <w:rPr>
          <w:lang w:val="uk-UA"/>
        </w:rPr>
      </w:pPr>
      <w:r w:rsidRPr="00E952D6">
        <w:rPr>
          <w:lang w:val="uk-UA"/>
        </w:rPr>
        <w:t xml:space="preserve">5. </w:t>
      </w:r>
      <w:r w:rsidR="00BB4B3A" w:rsidRPr="00E952D6">
        <w:rPr>
          <w:rStyle w:val="a6"/>
          <w:b w:val="0"/>
          <w:lang w:val="uk-UA"/>
        </w:rPr>
        <w:t xml:space="preserve">Умови поставки: предмет закупівлі підлягає доставці </w:t>
      </w:r>
      <w:r w:rsidR="00BB4B3A">
        <w:rPr>
          <w:rStyle w:val="a6"/>
          <w:b w:val="0"/>
          <w:lang w:val="uk-UA"/>
        </w:rPr>
        <w:t xml:space="preserve">Учасником дрібними партіями -  протягом доби </w:t>
      </w:r>
      <w:r w:rsidR="00BB4B3A" w:rsidRPr="00E952D6">
        <w:rPr>
          <w:rStyle w:val="a6"/>
          <w:b w:val="0"/>
          <w:lang w:val="uk-UA"/>
        </w:rPr>
        <w:t>згідно заяво</w:t>
      </w:r>
      <w:r w:rsidR="00BB4B3A">
        <w:rPr>
          <w:rStyle w:val="a6"/>
          <w:b w:val="0"/>
          <w:lang w:val="uk-UA"/>
        </w:rPr>
        <w:t>к Замовника  за адресами закладів освіти</w:t>
      </w:r>
      <w:r w:rsidR="00BB4B3A" w:rsidRPr="00E952D6">
        <w:rPr>
          <w:lang w:val="uk-UA"/>
        </w:rPr>
        <w:t xml:space="preserve"> з дотриманням термінів його реалізації.</w:t>
      </w:r>
    </w:p>
    <w:p w:rsidR="00BB4B3A" w:rsidRDefault="00E952D6" w:rsidP="00BB4B3A">
      <w:pPr>
        <w:jc w:val="both"/>
        <w:rPr>
          <w:bCs/>
          <w:kern w:val="1"/>
          <w:lang w:val="uk-UA"/>
        </w:rPr>
      </w:pPr>
      <w:r w:rsidRPr="00E952D6">
        <w:rPr>
          <w:bCs/>
          <w:kern w:val="1"/>
          <w:lang w:val="uk-UA"/>
        </w:rPr>
        <w:t xml:space="preserve">6. </w:t>
      </w:r>
      <w:r w:rsidR="00BB4B3A" w:rsidRPr="00E952D6">
        <w:rPr>
          <w:bCs/>
          <w:kern w:val="1"/>
          <w:lang w:val="uk-UA"/>
        </w:rPr>
        <w:t xml:space="preserve">Місце поставки: за адресами закладів освіти </w:t>
      </w:r>
      <w:proofErr w:type="spellStart"/>
      <w:r w:rsidR="00BB4B3A" w:rsidRPr="00E952D6">
        <w:rPr>
          <w:bCs/>
          <w:kern w:val="1"/>
          <w:lang w:val="uk-UA"/>
        </w:rPr>
        <w:t>Попельнастівської</w:t>
      </w:r>
      <w:proofErr w:type="spellEnd"/>
      <w:r w:rsidR="00BB4B3A" w:rsidRPr="00E952D6">
        <w:rPr>
          <w:bCs/>
          <w:kern w:val="1"/>
          <w:lang w:val="uk-UA"/>
        </w:rPr>
        <w:t xml:space="preserve"> сільської ради</w:t>
      </w:r>
      <w:r w:rsidR="00BB4B3A">
        <w:rPr>
          <w:bCs/>
          <w:kern w:val="1"/>
          <w:lang w:val="uk-UA"/>
        </w:rPr>
        <w:t>. (згідно інформації наведеної в Таблиці 1).</w:t>
      </w:r>
    </w:p>
    <w:p w:rsidR="00E952D6" w:rsidRPr="00ED08E9" w:rsidRDefault="00ED08E9" w:rsidP="00ED08E9">
      <w:pPr>
        <w:jc w:val="right"/>
        <w:rPr>
          <w:bCs/>
          <w:i/>
          <w:kern w:val="1"/>
          <w:lang w:val="uk-UA"/>
        </w:rPr>
      </w:pPr>
      <w:r w:rsidRPr="00ED08E9">
        <w:rPr>
          <w:bCs/>
          <w:i/>
          <w:kern w:val="1"/>
          <w:lang w:val="uk-UA"/>
        </w:rPr>
        <w:t>Таблиця 1</w:t>
      </w:r>
    </w:p>
    <w:tbl>
      <w:tblPr>
        <w:tblStyle w:val="a5"/>
        <w:tblW w:w="0" w:type="auto"/>
        <w:tblLook w:val="04A0"/>
      </w:tblPr>
      <w:tblGrid>
        <w:gridCol w:w="502"/>
        <w:gridCol w:w="6"/>
        <w:gridCol w:w="3428"/>
        <w:gridCol w:w="5103"/>
        <w:gridCol w:w="1146"/>
      </w:tblGrid>
      <w:tr w:rsidR="00BB4B3A" w:rsidRPr="0049493D" w:rsidTr="00680F30">
        <w:tc>
          <w:tcPr>
            <w:tcW w:w="502" w:type="dxa"/>
          </w:tcPr>
          <w:p w:rsidR="00BB4B3A" w:rsidRPr="0049493D" w:rsidRDefault="00BB4B3A" w:rsidP="00680F30">
            <w:pPr>
              <w:rPr>
                <w:b/>
                <w:sz w:val="24"/>
                <w:szCs w:val="24"/>
                <w:lang w:val="uk-UA"/>
              </w:rPr>
            </w:pPr>
            <w:r w:rsidRPr="0049493D">
              <w:rPr>
                <w:b/>
                <w:sz w:val="24"/>
                <w:szCs w:val="24"/>
                <w:lang w:val="uk-UA"/>
              </w:rPr>
              <w:t>№</w:t>
            </w:r>
          </w:p>
        </w:tc>
        <w:tc>
          <w:tcPr>
            <w:tcW w:w="3434" w:type="dxa"/>
            <w:gridSpan w:val="2"/>
          </w:tcPr>
          <w:p w:rsidR="00BB4B3A" w:rsidRPr="0049493D" w:rsidRDefault="00BB4B3A" w:rsidP="00680F30">
            <w:pPr>
              <w:jc w:val="center"/>
              <w:rPr>
                <w:b/>
                <w:sz w:val="24"/>
                <w:szCs w:val="24"/>
                <w:lang w:val="uk-UA"/>
              </w:rPr>
            </w:pPr>
            <w:r w:rsidRPr="0049493D">
              <w:rPr>
                <w:b/>
                <w:sz w:val="24"/>
                <w:szCs w:val="24"/>
                <w:lang w:val="uk-UA"/>
              </w:rPr>
              <w:t xml:space="preserve">Назва </w:t>
            </w:r>
            <w:r>
              <w:rPr>
                <w:b/>
                <w:sz w:val="24"/>
                <w:szCs w:val="24"/>
                <w:lang w:val="uk-UA"/>
              </w:rPr>
              <w:t>з</w:t>
            </w:r>
            <w:r w:rsidRPr="0049493D">
              <w:rPr>
                <w:b/>
                <w:sz w:val="24"/>
                <w:szCs w:val="24"/>
                <w:lang w:val="uk-UA"/>
              </w:rPr>
              <w:t>акладу</w:t>
            </w:r>
          </w:p>
        </w:tc>
        <w:tc>
          <w:tcPr>
            <w:tcW w:w="5103" w:type="dxa"/>
          </w:tcPr>
          <w:p w:rsidR="00BB4B3A" w:rsidRPr="0049493D" w:rsidRDefault="00BB4B3A" w:rsidP="00680F30">
            <w:pPr>
              <w:jc w:val="center"/>
              <w:rPr>
                <w:b/>
                <w:sz w:val="24"/>
                <w:szCs w:val="24"/>
                <w:lang w:val="uk-UA"/>
              </w:rPr>
            </w:pPr>
            <w:r w:rsidRPr="0049493D">
              <w:rPr>
                <w:b/>
                <w:sz w:val="24"/>
                <w:szCs w:val="24"/>
                <w:lang w:val="uk-UA"/>
              </w:rPr>
              <w:t>Адреса</w:t>
            </w:r>
            <w:r>
              <w:rPr>
                <w:b/>
                <w:sz w:val="24"/>
                <w:szCs w:val="24"/>
                <w:lang w:val="uk-UA"/>
              </w:rPr>
              <w:t xml:space="preserve"> місцезнаходження</w:t>
            </w:r>
            <w:r w:rsidRPr="0049493D">
              <w:rPr>
                <w:b/>
                <w:sz w:val="24"/>
                <w:szCs w:val="24"/>
                <w:lang w:val="uk-UA"/>
              </w:rPr>
              <w:t>:</w:t>
            </w:r>
          </w:p>
        </w:tc>
        <w:tc>
          <w:tcPr>
            <w:tcW w:w="1146" w:type="dxa"/>
          </w:tcPr>
          <w:p w:rsidR="00BB4B3A" w:rsidRPr="0049493D" w:rsidRDefault="00BB4B3A" w:rsidP="00680F30">
            <w:pPr>
              <w:jc w:val="center"/>
              <w:rPr>
                <w:b/>
                <w:lang w:val="uk-UA"/>
              </w:rPr>
            </w:pPr>
            <w:r>
              <w:rPr>
                <w:b/>
                <w:lang w:val="uk-UA"/>
              </w:rPr>
              <w:t>Відстань</w:t>
            </w:r>
          </w:p>
        </w:tc>
      </w:tr>
      <w:tr w:rsidR="00BB4B3A" w:rsidRPr="00437185" w:rsidTr="00680F30">
        <w:tc>
          <w:tcPr>
            <w:tcW w:w="10185" w:type="dxa"/>
            <w:gridSpan w:val="5"/>
          </w:tcPr>
          <w:p w:rsidR="00BB4B3A" w:rsidRPr="00437185" w:rsidRDefault="00BB4B3A" w:rsidP="00680F30">
            <w:pPr>
              <w:jc w:val="center"/>
              <w:rPr>
                <w:b/>
                <w:sz w:val="24"/>
                <w:szCs w:val="24"/>
                <w:lang w:val="uk-UA"/>
              </w:rPr>
            </w:pPr>
            <w:r w:rsidRPr="00437185">
              <w:rPr>
                <w:b/>
                <w:sz w:val="24"/>
                <w:szCs w:val="24"/>
                <w:lang w:val="uk-UA"/>
              </w:rPr>
              <w:t>Заклади дошкільної освіти</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1</w:t>
            </w:r>
          </w:p>
        </w:tc>
        <w:tc>
          <w:tcPr>
            <w:tcW w:w="3428" w:type="dxa"/>
          </w:tcPr>
          <w:p w:rsidR="00A61B7F" w:rsidRPr="00A61B7F" w:rsidRDefault="00A61B7F" w:rsidP="00A61B7F">
            <w:pPr>
              <w:rPr>
                <w:sz w:val="24"/>
                <w:szCs w:val="24"/>
                <w:lang w:val="uk-UA"/>
              </w:rPr>
            </w:pPr>
            <w:proofErr w:type="spellStart"/>
            <w:r w:rsidRPr="00683390">
              <w:rPr>
                <w:sz w:val="24"/>
                <w:szCs w:val="24"/>
              </w:rPr>
              <w:t>Добронадіївськ</w:t>
            </w:r>
            <w:r w:rsidRPr="00683390">
              <w:rPr>
                <w:sz w:val="24"/>
                <w:szCs w:val="24"/>
                <w:lang w:val="uk-UA"/>
              </w:rPr>
              <w:t>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sidRPr="00683390">
              <w:rPr>
                <w:sz w:val="24"/>
                <w:szCs w:val="24"/>
              </w:rPr>
              <w:t>вул</w:t>
            </w:r>
            <w:proofErr w:type="spellEnd"/>
            <w:r w:rsidRPr="00683390">
              <w:rPr>
                <w:sz w:val="24"/>
                <w:szCs w:val="24"/>
              </w:rPr>
              <w:t xml:space="preserve">. </w:t>
            </w:r>
            <w:proofErr w:type="spellStart"/>
            <w:r w:rsidRPr="00683390">
              <w:rPr>
                <w:sz w:val="24"/>
                <w:szCs w:val="24"/>
              </w:rPr>
              <w:t>Шкільна</w:t>
            </w:r>
            <w:proofErr w:type="spellEnd"/>
            <w:r w:rsidRPr="00683390">
              <w:rPr>
                <w:sz w:val="24"/>
                <w:szCs w:val="24"/>
              </w:rPr>
              <w:t xml:space="preserve">, 25,  с. </w:t>
            </w:r>
            <w:proofErr w:type="spellStart"/>
            <w:r w:rsidRPr="00683390">
              <w:rPr>
                <w:sz w:val="24"/>
                <w:szCs w:val="24"/>
              </w:rPr>
              <w:t>Добронадіївка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w:t>
            </w:r>
            <w:proofErr w:type="gramStart"/>
            <w:r w:rsidRPr="00683390">
              <w:rPr>
                <w:sz w:val="24"/>
                <w:szCs w:val="24"/>
              </w:rPr>
              <w:t xml:space="preserve"> </w:t>
            </w:r>
            <w:proofErr w:type="spellStart"/>
            <w:r w:rsidRPr="00683390">
              <w:rPr>
                <w:sz w:val="24"/>
                <w:szCs w:val="24"/>
              </w:rPr>
              <w:t>К</w:t>
            </w:r>
            <w:proofErr w:type="gramEnd"/>
            <w:r w:rsidRPr="00683390">
              <w:rPr>
                <w:sz w:val="24"/>
                <w:szCs w:val="24"/>
              </w:rPr>
              <w:t>іровоградська</w:t>
            </w:r>
            <w:proofErr w:type="spellEnd"/>
            <w:r w:rsidRPr="00683390">
              <w:rPr>
                <w:sz w:val="24"/>
                <w:szCs w:val="24"/>
              </w:rPr>
              <w:t xml:space="preserve"> область, 28054</w:t>
            </w:r>
          </w:p>
        </w:tc>
        <w:tc>
          <w:tcPr>
            <w:tcW w:w="1146" w:type="dxa"/>
          </w:tcPr>
          <w:p w:rsidR="00A61B7F" w:rsidRPr="00437185" w:rsidRDefault="00A61B7F" w:rsidP="007500B7">
            <w:pPr>
              <w:rPr>
                <w:sz w:val="24"/>
                <w:szCs w:val="24"/>
                <w:lang w:val="uk-UA"/>
              </w:rPr>
            </w:pPr>
            <w:r w:rsidRPr="00437185">
              <w:rPr>
                <w:sz w:val="24"/>
                <w:szCs w:val="24"/>
                <w:lang w:val="uk-UA"/>
              </w:rPr>
              <w:t>34</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2</w:t>
            </w:r>
          </w:p>
        </w:tc>
        <w:tc>
          <w:tcPr>
            <w:tcW w:w="3428" w:type="dxa"/>
          </w:tcPr>
          <w:p w:rsidR="00A61B7F" w:rsidRPr="00683390" w:rsidRDefault="00A61B7F" w:rsidP="00A61B7F">
            <w:pPr>
              <w:rPr>
                <w:sz w:val="24"/>
                <w:szCs w:val="24"/>
                <w:lang w:val="uk-UA"/>
              </w:rPr>
            </w:pPr>
            <w:proofErr w:type="spellStart"/>
            <w:r w:rsidRPr="00683390">
              <w:rPr>
                <w:sz w:val="24"/>
                <w:szCs w:val="24"/>
              </w:rPr>
              <w:t>Куколівський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sidRPr="00683390">
              <w:rPr>
                <w:sz w:val="24"/>
                <w:szCs w:val="24"/>
              </w:rPr>
              <w:t>вул</w:t>
            </w:r>
            <w:proofErr w:type="spellEnd"/>
            <w:r w:rsidRPr="00683390">
              <w:rPr>
                <w:sz w:val="24"/>
                <w:szCs w:val="24"/>
              </w:rPr>
              <w:t xml:space="preserve">. Центральна, 4, с. </w:t>
            </w:r>
            <w:proofErr w:type="spellStart"/>
            <w:r w:rsidRPr="00683390">
              <w:rPr>
                <w:sz w:val="24"/>
                <w:szCs w:val="24"/>
              </w:rPr>
              <w:t>Куколівка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w:t>
            </w:r>
            <w:proofErr w:type="gramStart"/>
            <w:r w:rsidRPr="00683390">
              <w:rPr>
                <w:sz w:val="24"/>
                <w:szCs w:val="24"/>
              </w:rPr>
              <w:t xml:space="preserve"> </w:t>
            </w:r>
            <w:proofErr w:type="spellStart"/>
            <w:r w:rsidRPr="00683390">
              <w:rPr>
                <w:sz w:val="24"/>
                <w:szCs w:val="24"/>
              </w:rPr>
              <w:t>К</w:t>
            </w:r>
            <w:proofErr w:type="gramEnd"/>
            <w:r w:rsidRPr="00683390">
              <w:rPr>
                <w:sz w:val="24"/>
                <w:szCs w:val="24"/>
              </w:rPr>
              <w:t>іровоградська</w:t>
            </w:r>
            <w:proofErr w:type="spellEnd"/>
            <w:r w:rsidRPr="00683390">
              <w:rPr>
                <w:sz w:val="24"/>
                <w:szCs w:val="24"/>
              </w:rPr>
              <w:t xml:space="preserve"> область, 28052</w:t>
            </w:r>
          </w:p>
        </w:tc>
        <w:tc>
          <w:tcPr>
            <w:tcW w:w="1146" w:type="dxa"/>
          </w:tcPr>
          <w:p w:rsidR="00A61B7F" w:rsidRPr="00437185" w:rsidRDefault="00A61B7F" w:rsidP="007500B7">
            <w:pPr>
              <w:rPr>
                <w:sz w:val="24"/>
                <w:szCs w:val="24"/>
                <w:lang w:val="uk-UA"/>
              </w:rPr>
            </w:pPr>
            <w:r w:rsidRPr="00437185">
              <w:rPr>
                <w:sz w:val="24"/>
                <w:szCs w:val="24"/>
                <w:lang w:val="uk-UA"/>
              </w:rPr>
              <w:t>17</w:t>
            </w:r>
          </w:p>
        </w:tc>
      </w:tr>
      <w:tr w:rsidR="00A61B7F" w:rsidRPr="000D28DF" w:rsidTr="00680F30">
        <w:tc>
          <w:tcPr>
            <w:tcW w:w="508" w:type="dxa"/>
            <w:gridSpan w:val="2"/>
          </w:tcPr>
          <w:p w:rsidR="00A61B7F" w:rsidRPr="00683390" w:rsidRDefault="00A61B7F" w:rsidP="007500B7">
            <w:pPr>
              <w:rPr>
                <w:sz w:val="24"/>
                <w:szCs w:val="24"/>
              </w:rPr>
            </w:pPr>
            <w:r w:rsidRPr="00683390">
              <w:rPr>
                <w:sz w:val="24"/>
                <w:szCs w:val="24"/>
              </w:rPr>
              <w:t>3</w:t>
            </w:r>
          </w:p>
        </w:tc>
        <w:tc>
          <w:tcPr>
            <w:tcW w:w="3428" w:type="dxa"/>
          </w:tcPr>
          <w:p w:rsidR="00A61B7F" w:rsidRPr="00A61B7F" w:rsidRDefault="00A61B7F" w:rsidP="00A61B7F">
            <w:pPr>
              <w:rPr>
                <w:sz w:val="24"/>
                <w:szCs w:val="24"/>
                <w:lang w:val="uk-UA"/>
              </w:rPr>
            </w:pPr>
            <w:proofErr w:type="spellStart"/>
            <w:r w:rsidRPr="00683390">
              <w:rPr>
                <w:sz w:val="24"/>
                <w:szCs w:val="24"/>
              </w:rPr>
              <w:t>Олександрівськ</w:t>
            </w:r>
            <w:r w:rsidRPr="00683390">
              <w:rPr>
                <w:sz w:val="24"/>
                <w:szCs w:val="24"/>
                <w:lang w:val="uk-UA"/>
              </w:rPr>
              <w:t>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Pr>
                <w:sz w:val="24"/>
                <w:szCs w:val="24"/>
              </w:rPr>
              <w:t>вул</w:t>
            </w:r>
            <w:proofErr w:type="spellEnd"/>
            <w:r>
              <w:rPr>
                <w:sz w:val="24"/>
                <w:szCs w:val="24"/>
              </w:rPr>
              <w:t>. Зелена, 21-</w:t>
            </w:r>
            <w:r>
              <w:rPr>
                <w:sz w:val="24"/>
                <w:szCs w:val="24"/>
                <w:lang w:val="uk-UA"/>
              </w:rPr>
              <w:t>А</w:t>
            </w:r>
            <w:r w:rsidRPr="00683390">
              <w:rPr>
                <w:sz w:val="24"/>
                <w:szCs w:val="24"/>
              </w:rPr>
              <w:t xml:space="preserve">  с. </w:t>
            </w:r>
            <w:proofErr w:type="spellStart"/>
            <w:r w:rsidRPr="00683390">
              <w:rPr>
                <w:sz w:val="24"/>
                <w:szCs w:val="24"/>
              </w:rPr>
              <w:t>Олександрівка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w:t>
            </w:r>
            <w:proofErr w:type="gramStart"/>
            <w:r w:rsidRPr="00683390">
              <w:rPr>
                <w:sz w:val="24"/>
                <w:szCs w:val="24"/>
              </w:rPr>
              <w:t xml:space="preserve"> </w:t>
            </w:r>
            <w:proofErr w:type="spellStart"/>
            <w:r w:rsidRPr="00683390">
              <w:rPr>
                <w:sz w:val="24"/>
                <w:szCs w:val="24"/>
              </w:rPr>
              <w:t>К</w:t>
            </w:r>
            <w:proofErr w:type="gramEnd"/>
            <w:r w:rsidRPr="00683390">
              <w:rPr>
                <w:sz w:val="24"/>
                <w:szCs w:val="24"/>
              </w:rPr>
              <w:t>іровоградська</w:t>
            </w:r>
            <w:proofErr w:type="spellEnd"/>
            <w:r w:rsidRPr="00683390">
              <w:rPr>
                <w:sz w:val="24"/>
                <w:szCs w:val="24"/>
              </w:rPr>
              <w:t xml:space="preserve"> область, 28051</w:t>
            </w:r>
          </w:p>
        </w:tc>
        <w:tc>
          <w:tcPr>
            <w:tcW w:w="1146" w:type="dxa"/>
          </w:tcPr>
          <w:p w:rsidR="00A61B7F" w:rsidRPr="00437185" w:rsidRDefault="00A61B7F" w:rsidP="007500B7">
            <w:pPr>
              <w:rPr>
                <w:sz w:val="24"/>
                <w:szCs w:val="24"/>
                <w:lang w:val="uk-UA"/>
              </w:rPr>
            </w:pPr>
            <w:r>
              <w:rPr>
                <w:sz w:val="24"/>
                <w:szCs w:val="24"/>
                <w:lang w:val="uk-UA"/>
              </w:rPr>
              <w:t>28</w:t>
            </w:r>
          </w:p>
        </w:tc>
      </w:tr>
      <w:tr w:rsidR="00A61B7F" w:rsidRPr="000D28DF" w:rsidTr="00680F30">
        <w:tc>
          <w:tcPr>
            <w:tcW w:w="508" w:type="dxa"/>
            <w:gridSpan w:val="2"/>
          </w:tcPr>
          <w:p w:rsidR="00A61B7F" w:rsidRPr="00683390" w:rsidRDefault="00A61B7F" w:rsidP="007500B7">
            <w:pPr>
              <w:rPr>
                <w:sz w:val="24"/>
                <w:szCs w:val="24"/>
              </w:rPr>
            </w:pPr>
            <w:r w:rsidRPr="00683390">
              <w:rPr>
                <w:sz w:val="24"/>
                <w:szCs w:val="24"/>
              </w:rPr>
              <w:t>4</w:t>
            </w:r>
          </w:p>
        </w:tc>
        <w:tc>
          <w:tcPr>
            <w:tcW w:w="3428" w:type="dxa"/>
          </w:tcPr>
          <w:p w:rsidR="00A61B7F" w:rsidRPr="00683390" w:rsidRDefault="00A61B7F" w:rsidP="00A61B7F">
            <w:pPr>
              <w:rPr>
                <w:sz w:val="24"/>
                <w:szCs w:val="24"/>
                <w:lang w:val="uk-UA"/>
              </w:rPr>
            </w:pPr>
            <w:proofErr w:type="spellStart"/>
            <w:r w:rsidRPr="00683390">
              <w:rPr>
                <w:sz w:val="24"/>
                <w:szCs w:val="24"/>
                <w:lang w:val="uk-UA"/>
              </w:rPr>
              <w:t>Попельнастівський</w:t>
            </w:r>
            <w:proofErr w:type="spellEnd"/>
            <w:r w:rsidRPr="00683390">
              <w:rPr>
                <w:sz w:val="24"/>
                <w:szCs w:val="24"/>
                <w:lang w:val="uk-UA"/>
              </w:rPr>
              <w:t xml:space="preserve"> </w:t>
            </w:r>
            <w:r>
              <w:rPr>
                <w:sz w:val="24"/>
                <w:szCs w:val="24"/>
                <w:lang w:val="uk-UA"/>
              </w:rPr>
              <w:t>ліцей</w:t>
            </w:r>
          </w:p>
        </w:tc>
        <w:tc>
          <w:tcPr>
            <w:tcW w:w="5103" w:type="dxa"/>
          </w:tcPr>
          <w:p w:rsidR="00A61B7F" w:rsidRPr="00683390" w:rsidRDefault="00A61B7F" w:rsidP="007500B7">
            <w:pPr>
              <w:rPr>
                <w:sz w:val="24"/>
                <w:szCs w:val="24"/>
                <w:lang w:val="uk-UA"/>
              </w:rPr>
            </w:pPr>
            <w:r w:rsidRPr="004A7B32">
              <w:rPr>
                <w:sz w:val="24"/>
                <w:szCs w:val="24"/>
                <w:lang w:val="uk-UA"/>
              </w:rPr>
              <w:t>вул. Шевченка, 1, с. Попельнасте, Олександрійський район Кіровоградська область, 28062</w:t>
            </w:r>
          </w:p>
        </w:tc>
        <w:tc>
          <w:tcPr>
            <w:tcW w:w="1146" w:type="dxa"/>
          </w:tcPr>
          <w:p w:rsidR="00A61B7F" w:rsidRPr="00437185" w:rsidRDefault="00A61B7F" w:rsidP="007500B7">
            <w:pPr>
              <w:rPr>
                <w:sz w:val="24"/>
                <w:szCs w:val="24"/>
                <w:lang w:val="uk-UA"/>
              </w:rPr>
            </w:pPr>
            <w:r w:rsidRPr="00437185">
              <w:rPr>
                <w:sz w:val="24"/>
                <w:szCs w:val="24"/>
                <w:lang w:val="uk-UA"/>
              </w:rPr>
              <w:t>64</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5</w:t>
            </w:r>
          </w:p>
        </w:tc>
        <w:tc>
          <w:tcPr>
            <w:tcW w:w="3428" w:type="dxa"/>
          </w:tcPr>
          <w:p w:rsidR="00A61B7F" w:rsidRPr="00A61B7F" w:rsidRDefault="00A61B7F" w:rsidP="00A61B7F">
            <w:pPr>
              <w:rPr>
                <w:sz w:val="24"/>
                <w:szCs w:val="24"/>
                <w:lang w:val="uk-UA"/>
              </w:rPr>
            </w:pPr>
            <w:proofErr w:type="spellStart"/>
            <w:r w:rsidRPr="00683390">
              <w:rPr>
                <w:sz w:val="24"/>
                <w:szCs w:val="24"/>
              </w:rPr>
              <w:t>Улянівськ</w:t>
            </w:r>
            <w:r w:rsidRPr="00683390">
              <w:rPr>
                <w:sz w:val="24"/>
                <w:szCs w:val="24"/>
                <w:lang w:val="uk-UA"/>
              </w:rPr>
              <w:t>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Pr>
                <w:sz w:val="24"/>
                <w:szCs w:val="24"/>
              </w:rPr>
              <w:t>вул</w:t>
            </w:r>
            <w:proofErr w:type="spellEnd"/>
            <w:r>
              <w:rPr>
                <w:sz w:val="24"/>
                <w:szCs w:val="24"/>
              </w:rPr>
              <w:t xml:space="preserve">. </w:t>
            </w:r>
            <w:proofErr w:type="spellStart"/>
            <w:r>
              <w:rPr>
                <w:sz w:val="24"/>
                <w:szCs w:val="24"/>
              </w:rPr>
              <w:t>Шкільна</w:t>
            </w:r>
            <w:proofErr w:type="spellEnd"/>
            <w:r>
              <w:rPr>
                <w:sz w:val="24"/>
                <w:szCs w:val="24"/>
              </w:rPr>
              <w:t xml:space="preserve">, </w:t>
            </w:r>
            <w:r>
              <w:rPr>
                <w:sz w:val="24"/>
                <w:szCs w:val="24"/>
                <w:lang w:val="uk-UA"/>
              </w:rPr>
              <w:t>4</w:t>
            </w:r>
            <w:r w:rsidRPr="00683390">
              <w:rPr>
                <w:sz w:val="24"/>
                <w:szCs w:val="24"/>
              </w:rPr>
              <w:t xml:space="preserve">,  с. </w:t>
            </w:r>
            <w:proofErr w:type="spellStart"/>
            <w:r w:rsidRPr="00683390">
              <w:rPr>
                <w:sz w:val="24"/>
                <w:szCs w:val="24"/>
              </w:rPr>
              <w:t>Улянівка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w:t>
            </w:r>
            <w:proofErr w:type="gramStart"/>
            <w:r w:rsidRPr="00683390">
              <w:rPr>
                <w:sz w:val="24"/>
                <w:szCs w:val="24"/>
              </w:rPr>
              <w:t xml:space="preserve"> </w:t>
            </w:r>
            <w:proofErr w:type="spellStart"/>
            <w:r w:rsidRPr="00683390">
              <w:rPr>
                <w:sz w:val="24"/>
                <w:szCs w:val="24"/>
              </w:rPr>
              <w:t>К</w:t>
            </w:r>
            <w:proofErr w:type="gramEnd"/>
            <w:r w:rsidRPr="00683390">
              <w:rPr>
                <w:sz w:val="24"/>
                <w:szCs w:val="24"/>
              </w:rPr>
              <w:t>іровоградська</w:t>
            </w:r>
            <w:proofErr w:type="spellEnd"/>
            <w:r w:rsidRPr="00683390">
              <w:rPr>
                <w:sz w:val="24"/>
                <w:szCs w:val="24"/>
              </w:rPr>
              <w:t xml:space="preserve"> область, 28065</w:t>
            </w:r>
          </w:p>
        </w:tc>
        <w:tc>
          <w:tcPr>
            <w:tcW w:w="1146" w:type="dxa"/>
          </w:tcPr>
          <w:p w:rsidR="00A61B7F" w:rsidRPr="00437185" w:rsidRDefault="00A61B7F" w:rsidP="007500B7">
            <w:pPr>
              <w:rPr>
                <w:sz w:val="24"/>
                <w:szCs w:val="24"/>
                <w:lang w:val="uk-UA"/>
              </w:rPr>
            </w:pPr>
            <w:r w:rsidRPr="00437185">
              <w:rPr>
                <w:sz w:val="24"/>
                <w:szCs w:val="24"/>
                <w:lang w:val="uk-UA"/>
              </w:rPr>
              <w:t>40</w:t>
            </w:r>
          </w:p>
        </w:tc>
      </w:tr>
      <w:tr w:rsidR="00A61B7F" w:rsidRPr="00437185" w:rsidTr="00680F30">
        <w:tc>
          <w:tcPr>
            <w:tcW w:w="508" w:type="dxa"/>
            <w:gridSpan w:val="2"/>
          </w:tcPr>
          <w:p w:rsidR="00A61B7F" w:rsidRPr="007659B0" w:rsidRDefault="00A61B7F" w:rsidP="007500B7">
            <w:pPr>
              <w:rPr>
                <w:sz w:val="24"/>
                <w:szCs w:val="24"/>
                <w:lang w:val="uk-UA"/>
              </w:rPr>
            </w:pPr>
            <w:r>
              <w:rPr>
                <w:sz w:val="24"/>
                <w:szCs w:val="24"/>
                <w:lang w:val="uk-UA"/>
              </w:rPr>
              <w:t>6</w:t>
            </w:r>
          </w:p>
        </w:tc>
        <w:tc>
          <w:tcPr>
            <w:tcW w:w="3428" w:type="dxa"/>
          </w:tcPr>
          <w:p w:rsidR="00A61B7F" w:rsidRPr="00683390" w:rsidRDefault="00A61B7F" w:rsidP="00A61B7F">
            <w:pPr>
              <w:rPr>
                <w:sz w:val="24"/>
                <w:szCs w:val="24"/>
                <w:lang w:val="uk-UA"/>
              </w:rPr>
            </w:pPr>
            <w:proofErr w:type="spellStart"/>
            <w:r w:rsidRPr="00683390">
              <w:rPr>
                <w:sz w:val="24"/>
                <w:szCs w:val="24"/>
              </w:rPr>
              <w:t>Червонокам’янський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sidRPr="00683390">
              <w:rPr>
                <w:sz w:val="24"/>
                <w:szCs w:val="24"/>
              </w:rPr>
              <w:t>вул</w:t>
            </w:r>
            <w:proofErr w:type="spellEnd"/>
            <w:r w:rsidRPr="00683390">
              <w:rPr>
                <w:sz w:val="24"/>
                <w:szCs w:val="24"/>
              </w:rPr>
              <w:t xml:space="preserve">. </w:t>
            </w:r>
            <w:proofErr w:type="spellStart"/>
            <w:r w:rsidRPr="00683390">
              <w:rPr>
                <w:sz w:val="24"/>
                <w:szCs w:val="24"/>
                <w:lang w:val="uk-UA"/>
              </w:rPr>
              <w:t>Гаценка</w:t>
            </w:r>
            <w:proofErr w:type="spellEnd"/>
            <w:r w:rsidRPr="00683390">
              <w:rPr>
                <w:sz w:val="24"/>
                <w:szCs w:val="24"/>
              </w:rPr>
              <w:t xml:space="preserve">, 2, с. </w:t>
            </w:r>
            <w:proofErr w:type="spellStart"/>
            <w:r w:rsidRPr="00683390">
              <w:rPr>
                <w:sz w:val="24"/>
                <w:szCs w:val="24"/>
              </w:rPr>
              <w:t>Червона</w:t>
            </w:r>
            <w:proofErr w:type="spellEnd"/>
            <w:r w:rsidRPr="00683390">
              <w:rPr>
                <w:sz w:val="24"/>
                <w:szCs w:val="24"/>
              </w:rPr>
              <w:t xml:space="preserve"> </w:t>
            </w:r>
            <w:proofErr w:type="spellStart"/>
            <w:r w:rsidRPr="00683390">
              <w:rPr>
                <w:sz w:val="24"/>
                <w:szCs w:val="24"/>
              </w:rPr>
              <w:t>Кам'янка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w:t>
            </w:r>
            <w:proofErr w:type="gramStart"/>
            <w:r w:rsidRPr="00683390">
              <w:rPr>
                <w:sz w:val="24"/>
                <w:szCs w:val="24"/>
              </w:rPr>
              <w:t xml:space="preserve"> </w:t>
            </w:r>
            <w:proofErr w:type="spellStart"/>
            <w:r w:rsidRPr="00683390">
              <w:rPr>
                <w:sz w:val="24"/>
                <w:szCs w:val="24"/>
              </w:rPr>
              <w:t>К</w:t>
            </w:r>
            <w:proofErr w:type="gramEnd"/>
            <w:r w:rsidRPr="00683390">
              <w:rPr>
                <w:sz w:val="24"/>
                <w:szCs w:val="24"/>
              </w:rPr>
              <w:t>іровоградська</w:t>
            </w:r>
            <w:proofErr w:type="spellEnd"/>
            <w:r w:rsidRPr="00683390">
              <w:rPr>
                <w:sz w:val="24"/>
                <w:szCs w:val="24"/>
              </w:rPr>
              <w:t xml:space="preserve"> область, 28063</w:t>
            </w:r>
          </w:p>
        </w:tc>
        <w:tc>
          <w:tcPr>
            <w:tcW w:w="1146" w:type="dxa"/>
          </w:tcPr>
          <w:p w:rsidR="00A61B7F" w:rsidRPr="00437185" w:rsidRDefault="00A61B7F" w:rsidP="007500B7">
            <w:pPr>
              <w:rPr>
                <w:sz w:val="24"/>
                <w:szCs w:val="24"/>
                <w:lang w:val="uk-UA"/>
              </w:rPr>
            </w:pPr>
            <w:r>
              <w:rPr>
                <w:sz w:val="24"/>
                <w:szCs w:val="24"/>
                <w:lang w:val="uk-UA"/>
              </w:rPr>
              <w:t>35</w:t>
            </w:r>
          </w:p>
        </w:tc>
      </w:tr>
      <w:tr w:rsidR="00A61B7F" w:rsidRPr="00437185" w:rsidTr="00680F30">
        <w:tc>
          <w:tcPr>
            <w:tcW w:w="508" w:type="dxa"/>
            <w:gridSpan w:val="2"/>
          </w:tcPr>
          <w:p w:rsidR="00A61B7F" w:rsidRDefault="00A61B7F" w:rsidP="007500B7">
            <w:pPr>
              <w:rPr>
                <w:lang w:val="uk-UA"/>
              </w:rPr>
            </w:pPr>
            <w:r>
              <w:rPr>
                <w:lang w:val="uk-UA"/>
              </w:rPr>
              <w:t>7</w:t>
            </w:r>
          </w:p>
        </w:tc>
        <w:tc>
          <w:tcPr>
            <w:tcW w:w="3428" w:type="dxa"/>
          </w:tcPr>
          <w:p w:rsidR="00A61B7F" w:rsidRPr="007659B0" w:rsidRDefault="00A61B7F" w:rsidP="00A61B7F">
            <w:pPr>
              <w:rPr>
                <w:sz w:val="24"/>
                <w:szCs w:val="24"/>
                <w:lang w:val="uk-UA"/>
              </w:rPr>
            </w:pPr>
            <w:proofErr w:type="spellStart"/>
            <w:r w:rsidRPr="007659B0">
              <w:rPr>
                <w:sz w:val="24"/>
                <w:szCs w:val="24"/>
                <w:lang w:val="uk-UA"/>
              </w:rPr>
              <w:t>Щасливськ</w:t>
            </w:r>
            <w:r>
              <w:rPr>
                <w:sz w:val="24"/>
                <w:szCs w:val="24"/>
                <w:lang w:val="uk-UA"/>
              </w:rPr>
              <w:t>а</w:t>
            </w:r>
            <w:proofErr w:type="spellEnd"/>
            <w:r>
              <w:rPr>
                <w:sz w:val="24"/>
                <w:szCs w:val="24"/>
                <w:lang w:val="uk-UA"/>
              </w:rPr>
              <w:t xml:space="preserve"> філія </w:t>
            </w:r>
            <w:proofErr w:type="spellStart"/>
            <w:r>
              <w:rPr>
                <w:sz w:val="24"/>
                <w:szCs w:val="24"/>
                <w:lang w:val="uk-UA"/>
              </w:rPr>
              <w:t>Червонокам</w:t>
            </w:r>
            <w:r w:rsidRPr="007659B0">
              <w:rPr>
                <w:sz w:val="24"/>
                <w:szCs w:val="24"/>
                <w:lang w:val="uk-UA"/>
              </w:rPr>
              <w:t>’</w:t>
            </w:r>
            <w:r>
              <w:rPr>
                <w:sz w:val="24"/>
                <w:szCs w:val="24"/>
                <w:lang w:val="uk-UA"/>
              </w:rPr>
              <w:t>янського</w:t>
            </w:r>
            <w:proofErr w:type="spellEnd"/>
            <w:r w:rsidRPr="007659B0">
              <w:rPr>
                <w:sz w:val="24"/>
                <w:szCs w:val="24"/>
                <w:lang w:val="uk-UA"/>
              </w:rPr>
              <w:t xml:space="preserve"> </w:t>
            </w:r>
            <w:r>
              <w:rPr>
                <w:sz w:val="24"/>
                <w:szCs w:val="24"/>
                <w:lang w:val="uk-UA"/>
              </w:rPr>
              <w:t>ліцею</w:t>
            </w:r>
          </w:p>
        </w:tc>
        <w:tc>
          <w:tcPr>
            <w:tcW w:w="5103" w:type="dxa"/>
          </w:tcPr>
          <w:p w:rsidR="00A61B7F" w:rsidRPr="009B2C64" w:rsidRDefault="00A61B7F" w:rsidP="007500B7">
            <w:pPr>
              <w:rPr>
                <w:sz w:val="24"/>
                <w:szCs w:val="24"/>
                <w:lang w:val="uk-UA"/>
              </w:rPr>
            </w:pPr>
            <w:r>
              <w:rPr>
                <w:sz w:val="24"/>
                <w:szCs w:val="24"/>
                <w:lang w:val="uk-UA"/>
              </w:rPr>
              <w:t>вул. Центральна, 21-А</w:t>
            </w:r>
            <w:r w:rsidRPr="009B2C64">
              <w:rPr>
                <w:sz w:val="24"/>
                <w:szCs w:val="24"/>
                <w:lang w:val="uk-UA"/>
              </w:rPr>
              <w:t xml:space="preserve">  с. Щасливе, Олександрійський район Кіровоградська область, 28055</w:t>
            </w:r>
          </w:p>
        </w:tc>
        <w:tc>
          <w:tcPr>
            <w:tcW w:w="1146" w:type="dxa"/>
          </w:tcPr>
          <w:p w:rsidR="00A61B7F" w:rsidRPr="00437185" w:rsidRDefault="00A61B7F" w:rsidP="007500B7">
            <w:pPr>
              <w:rPr>
                <w:sz w:val="24"/>
                <w:szCs w:val="24"/>
                <w:lang w:val="uk-UA"/>
              </w:rPr>
            </w:pPr>
            <w:r>
              <w:rPr>
                <w:sz w:val="24"/>
                <w:szCs w:val="24"/>
                <w:lang w:val="uk-UA"/>
              </w:rPr>
              <w:t>38</w:t>
            </w:r>
          </w:p>
        </w:tc>
      </w:tr>
    </w:tbl>
    <w:p w:rsidR="00BB4B3A" w:rsidRDefault="00BB4B3A" w:rsidP="00E952D6">
      <w:pPr>
        <w:jc w:val="both"/>
        <w:rPr>
          <w:bCs/>
          <w:kern w:val="1"/>
          <w:lang w:val="uk-UA"/>
        </w:rPr>
      </w:pPr>
    </w:p>
    <w:p w:rsidR="00E952D6" w:rsidRDefault="00F075A2" w:rsidP="009B748E">
      <w:pPr>
        <w:tabs>
          <w:tab w:val="left" w:pos="709"/>
        </w:tabs>
        <w:jc w:val="both"/>
        <w:rPr>
          <w:lang w:val="uk-UA"/>
        </w:rPr>
      </w:pPr>
      <w:r>
        <w:rPr>
          <w:lang w:val="uk-UA"/>
        </w:rPr>
        <w:t xml:space="preserve">7. </w:t>
      </w:r>
      <w:r w:rsidR="00E952D6" w:rsidRPr="00183A2D">
        <w:rPr>
          <w:lang w:val="uk-UA"/>
        </w:rPr>
        <w:t>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w:t>
      </w:r>
    </w:p>
    <w:p w:rsidR="00C20195" w:rsidRDefault="009B748E" w:rsidP="00B35742">
      <w:pPr>
        <w:suppressAutoHyphens w:val="0"/>
        <w:autoSpaceDE w:val="0"/>
        <w:autoSpaceDN w:val="0"/>
        <w:adjustRightInd w:val="0"/>
        <w:jc w:val="both"/>
        <w:rPr>
          <w:rFonts w:eastAsiaTheme="minorHAnsi"/>
          <w:lang w:val="uk-UA" w:eastAsia="en-US"/>
        </w:rPr>
      </w:pPr>
      <w:r>
        <w:rPr>
          <w:color w:val="000000"/>
          <w:lang w:val="uk-UA"/>
        </w:rPr>
        <w:t>8</w:t>
      </w:r>
      <w:r w:rsidR="00ED08E9" w:rsidRPr="00552739">
        <w:rPr>
          <w:color w:val="000000"/>
          <w:lang w:val="uk-UA"/>
        </w:rPr>
        <w:t xml:space="preserve">. </w:t>
      </w:r>
      <w:r w:rsidR="00ED08E9" w:rsidRPr="00552739">
        <w:rPr>
          <w:rFonts w:eastAsiaTheme="minorHAnsi"/>
          <w:lang w:val="uk-UA" w:eastAsia="en-US"/>
        </w:rPr>
        <w:t>Товар, що постачається повинен мати необхідні сертифікати якості виробника, реєстраційне</w:t>
      </w:r>
      <w:r w:rsidR="00B35742">
        <w:rPr>
          <w:rFonts w:eastAsiaTheme="minorHAnsi"/>
          <w:lang w:val="uk-UA" w:eastAsia="en-US"/>
        </w:rPr>
        <w:t xml:space="preserve"> </w:t>
      </w:r>
      <w:r w:rsidR="00ED08E9" w:rsidRPr="00552739">
        <w:rPr>
          <w:rFonts w:eastAsiaTheme="minorHAnsi"/>
          <w:lang w:val="uk-UA" w:eastAsia="en-US"/>
        </w:rPr>
        <w:t>посвідчення та висновок державної санітарно-епідеміологічної експертизи, або іншій подібний</w:t>
      </w:r>
      <w:r w:rsidR="00B35742">
        <w:rPr>
          <w:rFonts w:eastAsiaTheme="minorHAnsi"/>
          <w:lang w:val="uk-UA" w:eastAsia="en-US"/>
        </w:rPr>
        <w:t xml:space="preserve"> </w:t>
      </w:r>
      <w:r w:rsidR="00ED08E9" w:rsidRPr="00552739">
        <w:rPr>
          <w:rFonts w:eastAsiaTheme="minorHAnsi"/>
          <w:lang w:val="uk-UA" w:eastAsia="en-US"/>
        </w:rPr>
        <w:t>документ, що підтверджує відповідність товару вимогам, встановленим до нього</w:t>
      </w:r>
      <w:r w:rsidR="00ED08E9">
        <w:rPr>
          <w:rFonts w:eastAsiaTheme="minorHAnsi"/>
          <w:lang w:val="uk-UA" w:eastAsia="en-US"/>
        </w:rPr>
        <w:t xml:space="preserve"> </w:t>
      </w:r>
      <w:r w:rsidR="00ED08E9" w:rsidRPr="00552739">
        <w:rPr>
          <w:rFonts w:eastAsiaTheme="minorHAnsi"/>
          <w:lang w:val="uk-UA" w:eastAsia="en-US"/>
        </w:rPr>
        <w:t>загальнообов’язковими на території України нормами і правилами, повинен бути оформлений</w:t>
      </w:r>
      <w:r w:rsidR="00B35742">
        <w:rPr>
          <w:rFonts w:eastAsiaTheme="minorHAnsi"/>
          <w:lang w:val="uk-UA" w:eastAsia="en-US"/>
        </w:rPr>
        <w:t xml:space="preserve"> </w:t>
      </w:r>
      <w:r w:rsidR="00ED08E9" w:rsidRPr="00552739">
        <w:rPr>
          <w:rFonts w:eastAsiaTheme="minorHAnsi"/>
          <w:lang w:val="uk-UA" w:eastAsia="en-US"/>
        </w:rPr>
        <w:t>відповідно до вимог законодавства України.</w:t>
      </w:r>
    </w:p>
    <w:p w:rsidR="00ED08E9" w:rsidRPr="00552739" w:rsidRDefault="00ED08E9" w:rsidP="00ED08E9">
      <w:pPr>
        <w:jc w:val="both"/>
        <w:rPr>
          <w:rFonts w:eastAsiaTheme="minorHAnsi"/>
          <w:lang w:val="uk-UA" w:eastAsia="en-US"/>
        </w:rPr>
      </w:pPr>
      <w:r>
        <w:rPr>
          <w:rFonts w:eastAsiaTheme="minorHAnsi"/>
          <w:lang w:val="uk-UA" w:eastAsia="en-US"/>
        </w:rPr>
        <w:t xml:space="preserve"> (</w:t>
      </w:r>
      <w:r w:rsidR="00C20195">
        <w:rPr>
          <w:rFonts w:eastAsiaTheme="minorHAnsi"/>
          <w:lang w:val="uk-UA" w:eastAsia="en-US"/>
        </w:rPr>
        <w:t>у відповідності до показників, наведених в</w:t>
      </w:r>
      <w:r>
        <w:rPr>
          <w:rFonts w:eastAsiaTheme="minorHAnsi"/>
          <w:lang w:val="uk-UA" w:eastAsia="en-US"/>
        </w:rPr>
        <w:t xml:space="preserve"> Таблиці 2).</w:t>
      </w:r>
    </w:p>
    <w:p w:rsidR="00E952D6" w:rsidRPr="00ED08E9" w:rsidRDefault="00ED08E9" w:rsidP="00ED08E9">
      <w:pPr>
        <w:jc w:val="right"/>
        <w:rPr>
          <w:i/>
          <w:lang w:val="uk-UA"/>
        </w:rPr>
      </w:pPr>
      <w:r w:rsidRPr="00ED08E9">
        <w:rPr>
          <w:i/>
          <w:lang w:val="uk-UA"/>
        </w:rPr>
        <w:t>Таблиця 2</w:t>
      </w:r>
    </w:p>
    <w:tbl>
      <w:tblPr>
        <w:tblStyle w:val="a5"/>
        <w:tblW w:w="0" w:type="auto"/>
        <w:tblLayout w:type="fixed"/>
        <w:tblLook w:val="04A0"/>
      </w:tblPr>
      <w:tblGrid>
        <w:gridCol w:w="534"/>
        <w:gridCol w:w="2056"/>
        <w:gridCol w:w="779"/>
        <w:gridCol w:w="1134"/>
        <w:gridCol w:w="5670"/>
      </w:tblGrid>
      <w:tr w:rsidR="00E952D6" w:rsidTr="00727BB7">
        <w:tc>
          <w:tcPr>
            <w:tcW w:w="534" w:type="dxa"/>
          </w:tcPr>
          <w:p w:rsidR="00E952D6" w:rsidRPr="008A79AB" w:rsidRDefault="00E952D6" w:rsidP="00E952D6">
            <w:pPr>
              <w:jc w:val="both"/>
              <w:rPr>
                <w:sz w:val="24"/>
                <w:szCs w:val="24"/>
                <w:lang w:val="uk-UA"/>
              </w:rPr>
            </w:pPr>
            <w:r w:rsidRPr="008A79AB">
              <w:rPr>
                <w:sz w:val="24"/>
                <w:szCs w:val="24"/>
                <w:lang w:val="uk-UA"/>
              </w:rPr>
              <w:t>№ п/</w:t>
            </w:r>
            <w:r w:rsidRPr="008A79AB">
              <w:rPr>
                <w:sz w:val="24"/>
                <w:szCs w:val="24"/>
                <w:lang w:val="uk-UA"/>
              </w:rPr>
              <w:lastRenderedPageBreak/>
              <w:t>п</w:t>
            </w:r>
          </w:p>
        </w:tc>
        <w:tc>
          <w:tcPr>
            <w:tcW w:w="2056" w:type="dxa"/>
          </w:tcPr>
          <w:p w:rsidR="00E952D6" w:rsidRPr="008A79AB" w:rsidRDefault="00E952D6" w:rsidP="00E952D6">
            <w:pPr>
              <w:jc w:val="both"/>
              <w:rPr>
                <w:sz w:val="24"/>
                <w:szCs w:val="24"/>
                <w:lang w:val="uk-UA"/>
              </w:rPr>
            </w:pPr>
            <w:r w:rsidRPr="008A79AB">
              <w:rPr>
                <w:sz w:val="24"/>
                <w:szCs w:val="24"/>
                <w:lang w:val="uk-UA"/>
              </w:rPr>
              <w:lastRenderedPageBreak/>
              <w:t>Назва предмету закупівлі</w:t>
            </w:r>
          </w:p>
        </w:tc>
        <w:tc>
          <w:tcPr>
            <w:tcW w:w="779" w:type="dxa"/>
          </w:tcPr>
          <w:p w:rsidR="00E952D6" w:rsidRPr="008A79AB" w:rsidRDefault="00E952D6" w:rsidP="00E952D6">
            <w:pPr>
              <w:jc w:val="both"/>
              <w:rPr>
                <w:sz w:val="24"/>
                <w:szCs w:val="24"/>
                <w:lang w:val="uk-UA"/>
              </w:rPr>
            </w:pPr>
            <w:r w:rsidRPr="008A79AB">
              <w:rPr>
                <w:sz w:val="24"/>
                <w:szCs w:val="24"/>
                <w:lang w:val="uk-UA"/>
              </w:rPr>
              <w:t xml:space="preserve">Одиниця </w:t>
            </w:r>
            <w:r w:rsidRPr="008A79AB">
              <w:rPr>
                <w:sz w:val="24"/>
                <w:szCs w:val="24"/>
                <w:lang w:val="uk-UA"/>
              </w:rPr>
              <w:lastRenderedPageBreak/>
              <w:t>виміру</w:t>
            </w:r>
          </w:p>
        </w:tc>
        <w:tc>
          <w:tcPr>
            <w:tcW w:w="1134" w:type="dxa"/>
          </w:tcPr>
          <w:p w:rsidR="00E952D6" w:rsidRPr="008A79AB" w:rsidRDefault="00E952D6" w:rsidP="00E952D6">
            <w:pPr>
              <w:jc w:val="both"/>
              <w:rPr>
                <w:sz w:val="24"/>
                <w:szCs w:val="24"/>
                <w:lang w:val="uk-UA"/>
              </w:rPr>
            </w:pPr>
            <w:r w:rsidRPr="008A79AB">
              <w:rPr>
                <w:sz w:val="24"/>
                <w:szCs w:val="24"/>
                <w:lang w:val="uk-UA"/>
              </w:rPr>
              <w:lastRenderedPageBreak/>
              <w:t>кількість</w:t>
            </w:r>
          </w:p>
        </w:tc>
        <w:tc>
          <w:tcPr>
            <w:tcW w:w="5670" w:type="dxa"/>
          </w:tcPr>
          <w:p w:rsidR="00E952D6" w:rsidRPr="008A79AB" w:rsidRDefault="00E952D6" w:rsidP="00E952D6">
            <w:pPr>
              <w:jc w:val="both"/>
              <w:rPr>
                <w:sz w:val="24"/>
                <w:szCs w:val="24"/>
                <w:lang w:val="uk-UA"/>
              </w:rPr>
            </w:pPr>
            <w:r w:rsidRPr="008A79AB">
              <w:rPr>
                <w:sz w:val="24"/>
                <w:szCs w:val="24"/>
                <w:lang w:val="uk-UA"/>
              </w:rPr>
              <w:t>Технічні характеристики</w:t>
            </w:r>
          </w:p>
        </w:tc>
      </w:tr>
      <w:tr w:rsidR="005079E5" w:rsidRPr="006554AD" w:rsidTr="00727BB7">
        <w:tc>
          <w:tcPr>
            <w:tcW w:w="534" w:type="dxa"/>
          </w:tcPr>
          <w:p w:rsidR="005079E5" w:rsidRPr="008A79AB" w:rsidRDefault="005079E5" w:rsidP="00E952D6">
            <w:pPr>
              <w:jc w:val="both"/>
              <w:rPr>
                <w:sz w:val="24"/>
                <w:szCs w:val="24"/>
                <w:lang w:val="uk-UA"/>
              </w:rPr>
            </w:pPr>
            <w:r w:rsidRPr="008A79AB">
              <w:rPr>
                <w:sz w:val="24"/>
                <w:szCs w:val="24"/>
                <w:lang w:val="uk-UA"/>
              </w:rPr>
              <w:lastRenderedPageBreak/>
              <w:t>1</w:t>
            </w:r>
          </w:p>
        </w:tc>
        <w:tc>
          <w:tcPr>
            <w:tcW w:w="2056" w:type="dxa"/>
          </w:tcPr>
          <w:p w:rsidR="005079E5" w:rsidRPr="002758D9" w:rsidRDefault="005079E5" w:rsidP="007E63BA">
            <w:pPr>
              <w:jc w:val="both"/>
              <w:rPr>
                <w:sz w:val="24"/>
                <w:szCs w:val="24"/>
                <w:lang w:val="uk-UA"/>
              </w:rPr>
            </w:pPr>
            <w:r>
              <w:rPr>
                <w:sz w:val="24"/>
                <w:szCs w:val="24"/>
                <w:lang w:val="uk-UA"/>
              </w:rPr>
              <w:t>Свинина пісна (без кісток)</w:t>
            </w:r>
          </w:p>
        </w:tc>
        <w:tc>
          <w:tcPr>
            <w:tcW w:w="779" w:type="dxa"/>
          </w:tcPr>
          <w:p w:rsidR="005079E5" w:rsidRPr="008A79AB" w:rsidRDefault="005079E5" w:rsidP="007E63BA">
            <w:pPr>
              <w:jc w:val="both"/>
              <w:rPr>
                <w:sz w:val="24"/>
                <w:szCs w:val="24"/>
                <w:lang w:val="uk-UA"/>
              </w:rPr>
            </w:pPr>
            <w:r>
              <w:rPr>
                <w:sz w:val="24"/>
                <w:szCs w:val="24"/>
                <w:lang w:val="uk-UA"/>
              </w:rPr>
              <w:t>кг</w:t>
            </w:r>
          </w:p>
        </w:tc>
        <w:tc>
          <w:tcPr>
            <w:tcW w:w="1134" w:type="dxa"/>
          </w:tcPr>
          <w:p w:rsidR="005079E5" w:rsidRPr="00711ADC" w:rsidRDefault="005079E5" w:rsidP="007E63BA">
            <w:pPr>
              <w:jc w:val="both"/>
              <w:rPr>
                <w:sz w:val="24"/>
                <w:szCs w:val="24"/>
                <w:lang w:val="uk-UA"/>
              </w:rPr>
            </w:pPr>
            <w:r>
              <w:rPr>
                <w:sz w:val="24"/>
                <w:szCs w:val="24"/>
                <w:lang w:val="uk-UA"/>
              </w:rPr>
              <w:t>1549,530</w:t>
            </w:r>
          </w:p>
        </w:tc>
        <w:tc>
          <w:tcPr>
            <w:tcW w:w="5670" w:type="dxa"/>
          </w:tcPr>
          <w:p w:rsidR="005079E5" w:rsidRPr="00C32FC1" w:rsidRDefault="005079E5" w:rsidP="007E63BA">
            <w:pPr>
              <w:jc w:val="both"/>
              <w:rPr>
                <w:sz w:val="24"/>
                <w:szCs w:val="24"/>
                <w:lang w:val="uk-UA"/>
              </w:rPr>
            </w:pPr>
            <w:r w:rsidRPr="00C32FC1">
              <w:rPr>
                <w:b/>
                <w:bCs/>
                <w:sz w:val="24"/>
                <w:szCs w:val="24"/>
                <w:lang w:val="uk-UA"/>
              </w:rPr>
              <w:t xml:space="preserve">Охолоджене </w:t>
            </w:r>
            <w:r w:rsidRPr="00C32FC1">
              <w:rPr>
                <w:kern w:val="2"/>
                <w:sz w:val="24"/>
                <w:szCs w:val="24"/>
                <w:lang w:val="uk-UA" w:eastAsia="zh-CN"/>
              </w:rPr>
              <w:t>ДСТУ 4590:2006</w:t>
            </w:r>
            <w:r w:rsidRPr="00C32FC1">
              <w:rPr>
                <w:b/>
                <w:bCs/>
                <w:sz w:val="24"/>
                <w:szCs w:val="24"/>
                <w:lang w:val="uk-UA"/>
              </w:rPr>
              <w:t xml:space="preserve">. </w:t>
            </w:r>
            <w:r w:rsidRPr="00C32FC1">
              <w:rPr>
                <w:sz w:val="24"/>
                <w:szCs w:val="24"/>
                <w:lang w:val="uk-UA"/>
              </w:rPr>
              <w:t xml:space="preserve">М'ясо вищої категорії (без кісток) </w:t>
            </w:r>
            <w:r w:rsidRPr="00C32FC1">
              <w:rPr>
                <w:bCs/>
                <w:sz w:val="24"/>
                <w:szCs w:val="24"/>
                <w:lang w:val="uk-UA"/>
              </w:rPr>
              <w:t xml:space="preserve">повинно бути охолодженим без заморожування,  </w:t>
            </w:r>
            <w:r w:rsidRPr="00C32FC1">
              <w:rPr>
                <w:sz w:val="24"/>
                <w:szCs w:val="24"/>
                <w:lang w:val="uk-UA"/>
              </w:rPr>
              <w:t xml:space="preserve">мати температуру не вище ніж 4°С, </w:t>
            </w:r>
            <w:r w:rsidRPr="00C32FC1">
              <w:rPr>
                <w:bCs/>
                <w:sz w:val="24"/>
                <w:szCs w:val="24"/>
                <w:lang w:val="uk-UA"/>
              </w:rPr>
              <w:t xml:space="preserve">одержане від забою здорової тварини, </w:t>
            </w:r>
            <w:r w:rsidRPr="00C32FC1">
              <w:rPr>
                <w:sz w:val="24"/>
                <w:szCs w:val="24"/>
                <w:lang w:val="uk-UA"/>
              </w:rPr>
              <w:t>без великої кількості жиру, м`ясо пружне, при натисканні швидко приймає первинну форму.</w:t>
            </w:r>
            <w:r w:rsidRPr="00C32FC1">
              <w:rPr>
                <w:lang w:val="uk-UA"/>
              </w:rPr>
              <w:t xml:space="preserve"> </w:t>
            </w:r>
            <w:r w:rsidRPr="00C32FC1">
              <w:rPr>
                <w:sz w:val="24"/>
                <w:szCs w:val="24"/>
                <w:lang w:val="uk-UA"/>
              </w:rPr>
              <w:t>Не повинно бути залишків шкіри, згустків крові, забруднень</w:t>
            </w:r>
            <w:r w:rsidRPr="00C32FC1">
              <w:rPr>
                <w:bCs/>
                <w:sz w:val="24"/>
                <w:szCs w:val="24"/>
                <w:lang w:val="uk-UA"/>
              </w:rPr>
              <w:t>. Товар має бути вітчизняного, натурального походження. Забороняється постачати м’ясо, яке не пройшло ветеринарного контролю. М’ясо повинно бути середньої вгодованості, без ознак пошкоджень та дефектів. Колір і запах характерні для доброякісного м’яса, без глибоких надрізів м’язової тканини (не більше 10 мм.). М’ясо свіже чи охолоджене має бути вільне від кісток. Зовнішній вигляд, запах і колір притаманні даному виду сировини. М’язи пружні, еластичні, поверхня не зволожена.</w:t>
            </w:r>
            <w:r w:rsidRPr="00C32FC1">
              <w:rPr>
                <w:lang w:val="uk-UA"/>
              </w:rPr>
              <w:t xml:space="preserve"> </w:t>
            </w:r>
            <w:r>
              <w:rPr>
                <w:sz w:val="24"/>
                <w:szCs w:val="24"/>
                <w:lang w:val="uk-UA"/>
              </w:rPr>
              <w:t>Відповідає ДСТУ/</w:t>
            </w:r>
            <w:r w:rsidRPr="00C32FC1">
              <w:rPr>
                <w:sz w:val="24"/>
                <w:szCs w:val="24"/>
                <w:lang w:val="uk-UA"/>
              </w:rPr>
              <w:t>ТУ державного стандарту, має відповідні сертифікати і висновки Державної санітарно-епідеміологічної експертизи та інші документи, що діють на території України.</w:t>
            </w:r>
          </w:p>
          <w:p w:rsidR="005079E5" w:rsidRPr="0038553C" w:rsidRDefault="005079E5" w:rsidP="007E63BA">
            <w:pPr>
              <w:jc w:val="both"/>
              <w:rPr>
                <w:color w:val="000000"/>
                <w:sz w:val="24"/>
                <w:szCs w:val="24"/>
              </w:rPr>
            </w:pPr>
            <w:r w:rsidRPr="00C32FC1">
              <w:rPr>
                <w:sz w:val="24"/>
                <w:szCs w:val="24"/>
                <w:lang w:val="uk-UA"/>
              </w:rPr>
              <w:t>Термін придатності до споживання товару повинен складати не менше, ніж 90% загального терміну придатності споживання.</w:t>
            </w:r>
          </w:p>
        </w:tc>
      </w:tr>
      <w:tr w:rsidR="005079E5" w:rsidRPr="006554AD" w:rsidTr="00727BB7">
        <w:tc>
          <w:tcPr>
            <w:tcW w:w="534" w:type="dxa"/>
          </w:tcPr>
          <w:p w:rsidR="005079E5" w:rsidRPr="008A79AB" w:rsidRDefault="005079E5" w:rsidP="007E63BA">
            <w:pPr>
              <w:jc w:val="both"/>
              <w:rPr>
                <w:sz w:val="24"/>
                <w:szCs w:val="24"/>
                <w:lang w:val="uk-UA"/>
              </w:rPr>
            </w:pPr>
            <w:r>
              <w:rPr>
                <w:sz w:val="24"/>
                <w:szCs w:val="24"/>
                <w:lang w:val="uk-UA"/>
              </w:rPr>
              <w:t>2</w:t>
            </w:r>
          </w:p>
        </w:tc>
        <w:tc>
          <w:tcPr>
            <w:tcW w:w="2056" w:type="dxa"/>
          </w:tcPr>
          <w:p w:rsidR="005079E5" w:rsidRPr="002758D9" w:rsidRDefault="005079E5" w:rsidP="007E63BA">
            <w:pPr>
              <w:jc w:val="both"/>
              <w:rPr>
                <w:sz w:val="24"/>
                <w:szCs w:val="24"/>
                <w:lang w:val="uk-UA"/>
              </w:rPr>
            </w:pPr>
            <w:r>
              <w:rPr>
                <w:sz w:val="24"/>
                <w:szCs w:val="24"/>
                <w:lang w:val="uk-UA"/>
              </w:rPr>
              <w:t xml:space="preserve">Філе птиці </w:t>
            </w:r>
          </w:p>
        </w:tc>
        <w:tc>
          <w:tcPr>
            <w:tcW w:w="779" w:type="dxa"/>
          </w:tcPr>
          <w:p w:rsidR="005079E5" w:rsidRPr="008A79AB" w:rsidRDefault="005079E5" w:rsidP="007E63BA">
            <w:pPr>
              <w:jc w:val="both"/>
              <w:rPr>
                <w:sz w:val="24"/>
                <w:szCs w:val="24"/>
                <w:lang w:val="uk-UA"/>
              </w:rPr>
            </w:pPr>
            <w:r>
              <w:rPr>
                <w:sz w:val="24"/>
                <w:szCs w:val="24"/>
                <w:lang w:val="uk-UA"/>
              </w:rPr>
              <w:t>кг</w:t>
            </w:r>
          </w:p>
        </w:tc>
        <w:tc>
          <w:tcPr>
            <w:tcW w:w="1134" w:type="dxa"/>
          </w:tcPr>
          <w:p w:rsidR="005079E5" w:rsidRPr="00711ADC" w:rsidRDefault="005079E5" w:rsidP="007E63BA">
            <w:pPr>
              <w:jc w:val="both"/>
              <w:rPr>
                <w:sz w:val="24"/>
                <w:szCs w:val="24"/>
                <w:lang w:val="uk-UA"/>
              </w:rPr>
            </w:pPr>
            <w:r>
              <w:rPr>
                <w:sz w:val="24"/>
                <w:szCs w:val="24"/>
                <w:lang w:val="uk-UA"/>
              </w:rPr>
              <w:t>1795,365</w:t>
            </w:r>
          </w:p>
        </w:tc>
        <w:tc>
          <w:tcPr>
            <w:tcW w:w="5670" w:type="dxa"/>
          </w:tcPr>
          <w:p w:rsidR="005079E5" w:rsidRPr="00C32FC1" w:rsidRDefault="005079E5" w:rsidP="007E63BA">
            <w:pPr>
              <w:jc w:val="both"/>
              <w:rPr>
                <w:sz w:val="24"/>
                <w:szCs w:val="24"/>
                <w:lang w:val="uk-UA"/>
              </w:rPr>
            </w:pPr>
            <w:r w:rsidRPr="0061185F">
              <w:rPr>
                <w:b/>
                <w:bCs/>
                <w:sz w:val="24"/>
                <w:szCs w:val="24"/>
                <w:lang w:val="uk-UA"/>
              </w:rPr>
              <w:t xml:space="preserve">Філе </w:t>
            </w:r>
            <w:r>
              <w:rPr>
                <w:b/>
                <w:bCs/>
                <w:sz w:val="24"/>
                <w:szCs w:val="24"/>
                <w:lang w:val="uk-UA"/>
              </w:rPr>
              <w:t>птиці</w:t>
            </w:r>
            <w:r w:rsidRPr="0061185F">
              <w:rPr>
                <w:b/>
                <w:bCs/>
                <w:sz w:val="24"/>
                <w:szCs w:val="24"/>
                <w:lang w:val="uk-UA"/>
              </w:rPr>
              <w:t xml:space="preserve"> охолоджене</w:t>
            </w:r>
            <w:r>
              <w:rPr>
                <w:b/>
                <w:bCs/>
                <w:sz w:val="24"/>
                <w:szCs w:val="24"/>
                <w:lang w:val="uk-UA"/>
              </w:rPr>
              <w:t>.</w:t>
            </w:r>
            <w:r w:rsidRPr="00C32FC1">
              <w:rPr>
                <w:b/>
                <w:bCs/>
                <w:sz w:val="24"/>
                <w:szCs w:val="24"/>
                <w:lang w:val="uk-UA"/>
              </w:rPr>
              <w:t xml:space="preserve"> </w:t>
            </w:r>
            <w:r w:rsidRPr="00C32FC1">
              <w:rPr>
                <w:sz w:val="24"/>
                <w:szCs w:val="24"/>
                <w:lang w:val="uk-UA"/>
              </w:rPr>
              <w:t>ДСТУ 3143:2013</w:t>
            </w:r>
            <w:r w:rsidRPr="00C32FC1">
              <w:rPr>
                <w:bCs/>
                <w:sz w:val="24"/>
                <w:szCs w:val="24"/>
                <w:lang w:val="uk-UA"/>
              </w:rPr>
              <w:t xml:space="preserve">. </w:t>
            </w:r>
            <w:r w:rsidRPr="0061185F">
              <w:rPr>
                <w:sz w:val="24"/>
                <w:szCs w:val="24"/>
                <w:lang w:val="uk-UA"/>
              </w:rPr>
              <w:t xml:space="preserve">Зовнішній вигляд: складається з м'язової тканини цілої/половини грудини без шкіри. Ребра з прилеглим реберним м'ясом видалені. Без згустків крові, з чистою поверхнею. </w:t>
            </w:r>
            <w:r>
              <w:rPr>
                <w:bCs/>
                <w:sz w:val="24"/>
                <w:szCs w:val="24"/>
                <w:lang w:val="uk-UA"/>
              </w:rPr>
              <w:t>П</w:t>
            </w:r>
            <w:r w:rsidRPr="0061185F">
              <w:rPr>
                <w:bCs/>
                <w:sz w:val="24"/>
                <w:szCs w:val="24"/>
                <w:lang w:val="uk-UA"/>
              </w:rPr>
              <w:t>оверхня біло-рожевого кольору, жир відсутній, тканина м’яз щільна, пружна, злегка волога, але не липка, з чистим характерним для курячого м’яса запахом. Не допускається наявність ознак псування, ослизнення тощо.</w:t>
            </w:r>
            <w:r w:rsidRPr="0061185F">
              <w:rPr>
                <w:sz w:val="24"/>
                <w:szCs w:val="24"/>
                <w:lang w:val="uk-UA"/>
              </w:rPr>
              <w:t xml:space="preserve"> М’ясо обрізне від жиру. З повністю видаленим оперенням. Запах: свіжий без сторонніх запахів. Продукція повинна відповідати ветеринарно-санітарним вимогам та нормативній документації (ТУ, ДСТУ). Термін зберігання при температурі 00С - +20С не більше 7 діб. Обов’язкова наявність маркування із зазначенням виробника та місце розташування потужностей виробництва, дату</w:t>
            </w:r>
            <w:r>
              <w:rPr>
                <w:sz w:val="24"/>
                <w:szCs w:val="24"/>
                <w:lang w:val="uk-UA"/>
              </w:rPr>
              <w:t xml:space="preserve"> виготовлення, умови зберігання</w:t>
            </w:r>
            <w:r w:rsidRPr="0061185F">
              <w:rPr>
                <w:sz w:val="24"/>
                <w:szCs w:val="24"/>
                <w:lang w:val="uk-UA"/>
              </w:rPr>
              <w:t xml:space="preserve">. </w:t>
            </w:r>
            <w:r>
              <w:rPr>
                <w:sz w:val="24"/>
                <w:szCs w:val="24"/>
                <w:lang w:val="uk-UA"/>
              </w:rPr>
              <w:t>Відповідає ДСТУ/</w:t>
            </w:r>
            <w:r w:rsidRPr="00C32FC1">
              <w:rPr>
                <w:sz w:val="24"/>
                <w:szCs w:val="24"/>
                <w:lang w:val="uk-UA"/>
              </w:rPr>
              <w:t>ТУ державного стандарту, має відповідні сертифікати і висновки Державної санітарно-епідеміологічної експертизи та інші документи, що діють на території України.</w:t>
            </w:r>
          </w:p>
          <w:p w:rsidR="005079E5" w:rsidRPr="00C32FC1" w:rsidRDefault="005079E5" w:rsidP="007E63BA">
            <w:pPr>
              <w:tabs>
                <w:tab w:val="left" w:pos="0"/>
                <w:tab w:val="left" w:pos="284"/>
              </w:tabs>
              <w:jc w:val="both"/>
              <w:rPr>
                <w:color w:val="000000"/>
                <w:sz w:val="24"/>
                <w:szCs w:val="24"/>
                <w:lang w:val="uk-UA"/>
              </w:rPr>
            </w:pPr>
            <w:r w:rsidRPr="00C32FC1">
              <w:rPr>
                <w:sz w:val="24"/>
                <w:szCs w:val="24"/>
                <w:lang w:val="uk-UA"/>
              </w:rPr>
              <w:t>Термін придатності до споживання товару повинен складати не менше, ніж 90% загального терміну придатності споживання.</w:t>
            </w:r>
          </w:p>
        </w:tc>
      </w:tr>
      <w:tr w:rsidR="005079E5" w:rsidRPr="006554AD" w:rsidTr="003F4D63">
        <w:tc>
          <w:tcPr>
            <w:tcW w:w="3369" w:type="dxa"/>
            <w:gridSpan w:val="3"/>
          </w:tcPr>
          <w:p w:rsidR="005079E5" w:rsidRDefault="005079E5" w:rsidP="00BC5D90">
            <w:pPr>
              <w:jc w:val="both"/>
              <w:rPr>
                <w:lang w:val="uk-UA"/>
              </w:rPr>
            </w:pPr>
            <w:r>
              <w:rPr>
                <w:lang w:val="uk-UA"/>
              </w:rPr>
              <w:t>РАЗОМ:</w:t>
            </w:r>
          </w:p>
        </w:tc>
        <w:tc>
          <w:tcPr>
            <w:tcW w:w="1134" w:type="dxa"/>
          </w:tcPr>
          <w:p w:rsidR="005079E5" w:rsidRPr="005079E5" w:rsidRDefault="005079E5" w:rsidP="00BC5D90">
            <w:pPr>
              <w:jc w:val="both"/>
              <w:rPr>
                <w:sz w:val="24"/>
                <w:szCs w:val="24"/>
                <w:lang w:val="uk-UA"/>
              </w:rPr>
            </w:pPr>
            <w:r w:rsidRPr="005079E5">
              <w:rPr>
                <w:sz w:val="24"/>
                <w:szCs w:val="24"/>
                <w:lang w:val="uk-UA"/>
              </w:rPr>
              <w:t>3344,895</w:t>
            </w:r>
          </w:p>
        </w:tc>
        <w:tc>
          <w:tcPr>
            <w:tcW w:w="5670" w:type="dxa"/>
          </w:tcPr>
          <w:p w:rsidR="005079E5" w:rsidRPr="00CB0353" w:rsidRDefault="005079E5" w:rsidP="00BC5D90">
            <w:pPr>
              <w:pStyle w:val="a7"/>
              <w:jc w:val="both"/>
              <w:rPr>
                <w:rFonts w:ascii="Times New Roman" w:hAnsi="Times New Roman"/>
                <w:bCs/>
                <w:sz w:val="24"/>
                <w:szCs w:val="24"/>
              </w:rPr>
            </w:pPr>
          </w:p>
        </w:tc>
      </w:tr>
      <w:tr w:rsidR="005079E5" w:rsidRPr="006554AD" w:rsidTr="00EF401D">
        <w:tc>
          <w:tcPr>
            <w:tcW w:w="10173" w:type="dxa"/>
            <w:gridSpan w:val="5"/>
          </w:tcPr>
          <w:p w:rsidR="005079E5" w:rsidRPr="005079E5" w:rsidRDefault="005079E5" w:rsidP="005079E5">
            <w:pPr>
              <w:ind w:left="33"/>
              <w:jc w:val="both"/>
              <w:rPr>
                <w:color w:val="000000"/>
                <w:sz w:val="24"/>
                <w:szCs w:val="24"/>
                <w:lang w:val="uk-UA"/>
              </w:rPr>
            </w:pPr>
            <w:r w:rsidRPr="005079E5">
              <w:rPr>
                <w:color w:val="000000"/>
                <w:sz w:val="24"/>
                <w:szCs w:val="24"/>
                <w:lang w:val="uk-UA"/>
              </w:rPr>
              <w:t>Маркування:</w:t>
            </w:r>
          </w:p>
          <w:p w:rsidR="005079E5" w:rsidRPr="005079E5" w:rsidRDefault="005079E5" w:rsidP="005079E5">
            <w:pPr>
              <w:ind w:left="33"/>
              <w:jc w:val="both"/>
              <w:rPr>
                <w:color w:val="000000"/>
                <w:sz w:val="24"/>
                <w:szCs w:val="24"/>
                <w:lang w:val="uk-UA"/>
              </w:rPr>
            </w:pPr>
            <w:r w:rsidRPr="005079E5">
              <w:rPr>
                <w:color w:val="000000"/>
                <w:sz w:val="24"/>
                <w:szCs w:val="24"/>
                <w:lang w:val="uk-UA"/>
              </w:rPr>
              <w:t xml:space="preserve">Обов’язкова наявність маркування із  зазначенням виробника та місця розташування потужностей виробництва, дати виготовлення, умови зберігання та посвідчення про якість. </w:t>
            </w:r>
            <w:r w:rsidRPr="005079E5">
              <w:rPr>
                <w:color w:val="000000"/>
                <w:sz w:val="24"/>
                <w:szCs w:val="24"/>
                <w:lang w:val="uk-UA"/>
              </w:rPr>
              <w:lastRenderedPageBreak/>
              <w:t>Залишковий термін придатності на момент постачання товару не менше 90% загального терміну зберігання.</w:t>
            </w:r>
          </w:p>
          <w:p w:rsidR="005079E5" w:rsidRPr="005079E5" w:rsidRDefault="005079E5" w:rsidP="005079E5">
            <w:pPr>
              <w:ind w:left="33"/>
              <w:jc w:val="both"/>
              <w:rPr>
                <w:color w:val="000000"/>
                <w:sz w:val="24"/>
                <w:szCs w:val="24"/>
                <w:lang w:val="uk-UA"/>
              </w:rPr>
            </w:pPr>
            <w:r w:rsidRPr="005079E5">
              <w:rPr>
                <w:color w:val="000000"/>
                <w:sz w:val="24"/>
                <w:szCs w:val="24"/>
                <w:lang w:val="uk-UA"/>
              </w:rPr>
              <w:t xml:space="preserve">На упаковці повинен бути ярлик із зазначенням виробника, терміну виготовлення і придатності, маси (данні повинні збігатися з посвідчення про якість). Кожна партія товару має супроводжуватися документами, що підтверджують її походження, безпечність і якість; ґатунок, категорію, дату виготовлення на підприємстві, термін реалізації, умови зберігання (для продуктів, що швидко псуються термін реалізації, час виготовлення позначається у </w:t>
            </w:r>
            <w:r w:rsidRPr="005079E5">
              <w:rPr>
                <w:color w:val="000000"/>
                <w:sz w:val="24"/>
                <w:szCs w:val="24"/>
                <w:shd w:val="clear" w:color="auto" w:fill="FFFFFF"/>
                <w:lang w:val="uk-UA"/>
              </w:rPr>
              <w:t>годинах). Вітчизняний виробник.</w:t>
            </w:r>
          </w:p>
          <w:p w:rsidR="005079E5" w:rsidRPr="005079E5" w:rsidRDefault="005079E5" w:rsidP="005079E5">
            <w:pPr>
              <w:ind w:left="33"/>
              <w:jc w:val="both"/>
              <w:rPr>
                <w:color w:val="000000"/>
                <w:sz w:val="24"/>
                <w:szCs w:val="24"/>
                <w:lang w:val="uk-UA"/>
              </w:rPr>
            </w:pPr>
            <w:r w:rsidRPr="005079E5">
              <w:rPr>
                <w:color w:val="000000"/>
                <w:sz w:val="24"/>
                <w:szCs w:val="24"/>
                <w:lang w:val="uk-UA"/>
              </w:rPr>
              <w:t>Пакування:</w:t>
            </w:r>
          </w:p>
          <w:p w:rsidR="005079E5" w:rsidRPr="005079E5" w:rsidRDefault="005079E5" w:rsidP="005079E5">
            <w:pPr>
              <w:ind w:firstLine="284"/>
              <w:jc w:val="both"/>
              <w:rPr>
                <w:sz w:val="24"/>
                <w:szCs w:val="24"/>
                <w:lang w:val="uk-UA"/>
              </w:rPr>
            </w:pPr>
            <w:r w:rsidRPr="005079E5">
              <w:rPr>
                <w:sz w:val="24"/>
                <w:szCs w:val="24"/>
                <w:lang w:val="uk-UA"/>
              </w:rPr>
              <w:t xml:space="preserve">Для пакування використовують допоміжні засоби і матеріали для виробництва та обігу, які допускаються до контакту з м’ясними продуктами і використанню у м’ясній промисловості. Пакувальні матеріали та оболонки повинні забезпечувати якість м’яса під час зберігання, транспортування та реалізації протягом встановленого строку придатності продуктів при дотриманні визначених режимів. При перепакування товару повинні забезпечуватися умови зберігання, які встановлені виробником.             </w:t>
            </w:r>
          </w:p>
          <w:p w:rsidR="005079E5" w:rsidRPr="00CB0353" w:rsidRDefault="005079E5" w:rsidP="005079E5">
            <w:pPr>
              <w:pStyle w:val="a7"/>
              <w:jc w:val="both"/>
              <w:rPr>
                <w:rFonts w:ascii="Times New Roman" w:hAnsi="Times New Roman"/>
                <w:bCs/>
                <w:sz w:val="24"/>
                <w:szCs w:val="24"/>
              </w:rPr>
            </w:pPr>
            <w:r w:rsidRPr="005079E5">
              <w:rPr>
                <w:rFonts w:ascii="Times New Roman" w:hAnsi="Times New Roman"/>
                <w:sz w:val="24"/>
                <w:szCs w:val="24"/>
              </w:rPr>
              <w:t>Кожне пакування повинно містити інформацію, нанесену державною мовою будь-яким способом, для забезпечення чіткого читання у доступній для сприйняття  формі.  На упаковці (тарі) обов’язково повинно бути вказано дату виготовлення товару.</w:t>
            </w:r>
            <w:r w:rsidRPr="009F001B">
              <w:rPr>
                <w:sz w:val="24"/>
                <w:szCs w:val="24"/>
              </w:rPr>
              <w:t xml:space="preserve"> </w:t>
            </w:r>
            <w:r>
              <w:rPr>
                <w:sz w:val="24"/>
                <w:szCs w:val="24"/>
              </w:rPr>
              <w:t xml:space="preserve"> </w:t>
            </w:r>
          </w:p>
        </w:tc>
      </w:tr>
    </w:tbl>
    <w:p w:rsidR="00292760" w:rsidRDefault="00292760" w:rsidP="00FE4140">
      <w:pPr>
        <w:suppressAutoHyphens w:val="0"/>
        <w:autoSpaceDE w:val="0"/>
        <w:autoSpaceDN w:val="0"/>
        <w:adjustRightInd w:val="0"/>
        <w:jc w:val="both"/>
        <w:rPr>
          <w:lang w:val="uk-UA"/>
        </w:rPr>
      </w:pPr>
    </w:p>
    <w:p w:rsidR="00552739" w:rsidRDefault="009B748E" w:rsidP="006E4E43">
      <w:pPr>
        <w:jc w:val="both"/>
        <w:rPr>
          <w:color w:val="000000"/>
          <w:lang w:val="uk-UA"/>
        </w:rPr>
      </w:pPr>
      <w:r>
        <w:rPr>
          <w:rFonts w:eastAsiaTheme="minorHAnsi"/>
          <w:lang w:val="uk-UA" w:eastAsia="en-US"/>
        </w:rPr>
        <w:t>9</w:t>
      </w:r>
      <w:r w:rsidR="00552739">
        <w:rPr>
          <w:rFonts w:eastAsiaTheme="minorHAnsi"/>
          <w:lang w:val="uk-UA" w:eastAsia="en-US"/>
        </w:rPr>
        <w:t xml:space="preserve">. </w:t>
      </w:r>
      <w:r w:rsidR="00552739" w:rsidRPr="006E4E43">
        <w:rPr>
          <w:color w:val="000000"/>
          <w:lang w:val="uk-U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«Про основні принципи та вимоги до безпечності та якості харчових продуктів»,  спільних наказів МОН України та МОЗ України від 17.04.2006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298/227 «Про затвердження Інструкції з організації харчування дітей у дошкільних закладах», від 15.08.2006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620/563 «Щодо невідкладних заходів з організації харчування дітей у дошкільних, загальноосвітніх, позашкільних навчальних закладах», від 01.06.2005</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242/329 «Про затвердження Порядку організації харчування дітей у навчальних та оздоровчих закладах».</w:t>
      </w:r>
    </w:p>
    <w:p w:rsidR="00784141" w:rsidRDefault="009B748E" w:rsidP="006E4E43">
      <w:pPr>
        <w:jc w:val="both"/>
        <w:rPr>
          <w:color w:val="000000"/>
          <w:lang w:val="uk-UA"/>
        </w:rPr>
      </w:pPr>
      <w:r>
        <w:rPr>
          <w:color w:val="000000"/>
          <w:lang w:val="uk-UA"/>
        </w:rPr>
        <w:t>10</w:t>
      </w:r>
      <w:r w:rsidR="00784141">
        <w:rPr>
          <w:color w:val="000000"/>
          <w:lang w:val="uk-UA"/>
        </w:rPr>
        <w:t xml:space="preserve">. </w:t>
      </w:r>
      <w:r w:rsidR="00784141" w:rsidRPr="00B124FF">
        <w:rPr>
          <w:lang w:val="uk-UA"/>
        </w:rPr>
        <w:t>Товар не повинен містити генетично модифіковані організми (ГМО).</w:t>
      </w:r>
    </w:p>
    <w:p w:rsidR="00552739" w:rsidRPr="00EA3261" w:rsidRDefault="009B748E" w:rsidP="00552739">
      <w:pPr>
        <w:suppressAutoHyphens w:val="0"/>
        <w:autoSpaceDE w:val="0"/>
        <w:autoSpaceDN w:val="0"/>
        <w:adjustRightInd w:val="0"/>
        <w:jc w:val="both"/>
        <w:rPr>
          <w:rFonts w:eastAsiaTheme="minorHAnsi"/>
          <w:lang w:val="uk-UA" w:eastAsia="en-US"/>
        </w:rPr>
      </w:pPr>
      <w:r>
        <w:rPr>
          <w:lang w:val="uk-UA"/>
        </w:rPr>
        <w:t>11</w:t>
      </w:r>
      <w:r w:rsidR="00552739">
        <w:rPr>
          <w:lang w:val="uk-UA"/>
        </w:rPr>
        <w:t xml:space="preserve">. </w:t>
      </w:r>
      <w:r w:rsidR="00552739" w:rsidRPr="00EA3261">
        <w:rPr>
          <w:rFonts w:eastAsiaTheme="minorHAnsi"/>
          <w:lang w:val="uk-UA" w:eastAsia="en-US"/>
        </w:rPr>
        <w:t xml:space="preserve">На упаковці </w:t>
      </w:r>
      <w:r>
        <w:rPr>
          <w:rFonts w:eastAsiaTheme="minorHAnsi"/>
          <w:lang w:val="uk-UA" w:eastAsia="en-US"/>
        </w:rPr>
        <w:t>повинна</w:t>
      </w:r>
      <w:r w:rsidR="003A1855">
        <w:rPr>
          <w:rFonts w:eastAsiaTheme="minorHAnsi"/>
          <w:lang w:val="uk-UA" w:eastAsia="en-US"/>
        </w:rPr>
        <w:t xml:space="preserve"> містити</w:t>
      </w:r>
      <w:r w:rsidR="00552739" w:rsidRPr="00EA3261">
        <w:rPr>
          <w:rFonts w:eastAsiaTheme="minorHAnsi"/>
          <w:lang w:val="uk-UA" w:eastAsia="en-US"/>
        </w:rPr>
        <w:t xml:space="preserve">ся </w:t>
      </w:r>
      <w:r>
        <w:rPr>
          <w:rFonts w:eastAsiaTheme="minorHAnsi"/>
          <w:lang w:val="uk-UA" w:eastAsia="en-US"/>
        </w:rPr>
        <w:t>інформація</w:t>
      </w:r>
      <w:r w:rsidR="00552739" w:rsidRPr="00EA3261">
        <w:rPr>
          <w:rFonts w:eastAsiaTheme="minorHAnsi"/>
          <w:lang w:val="uk-UA" w:eastAsia="en-US"/>
        </w:rPr>
        <w:t xml:space="preserve"> із зазначенням виробника, терміну виготовлення та придатності, маси (дані повинні відповідати інформації з посвідчення про якість), відповідність вимогам діючого санітарного законодавства України.</w:t>
      </w:r>
    </w:p>
    <w:p w:rsidR="003A1855" w:rsidRPr="00B124FF" w:rsidRDefault="009B748E" w:rsidP="003A1855">
      <w:pPr>
        <w:tabs>
          <w:tab w:val="left" w:pos="709"/>
        </w:tabs>
        <w:jc w:val="both"/>
        <w:rPr>
          <w:lang w:val="uk-UA"/>
        </w:rPr>
      </w:pPr>
      <w:r>
        <w:rPr>
          <w:rFonts w:eastAsiaTheme="minorHAnsi"/>
          <w:lang w:val="uk-UA" w:eastAsia="en-US"/>
        </w:rPr>
        <w:t>11</w:t>
      </w:r>
      <w:r w:rsidR="00552739" w:rsidRPr="00EA3261">
        <w:rPr>
          <w:rFonts w:eastAsiaTheme="minorHAnsi"/>
          <w:lang w:val="uk-UA" w:eastAsia="en-US"/>
        </w:rPr>
        <w:t xml:space="preserve">.1. </w:t>
      </w:r>
      <w:r w:rsidR="003A1855" w:rsidRPr="00B124FF">
        <w:rPr>
          <w:lang w:val="uk-UA"/>
        </w:rPr>
        <w:t xml:space="preserve">Документи, що підтверджують якість товару подаються Учасником Замовникові на кожну партію товару окремо. 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w:t>
      </w:r>
    </w:p>
    <w:p w:rsidR="00552739" w:rsidRPr="00EA3261" w:rsidRDefault="009B748E" w:rsidP="00552739">
      <w:pPr>
        <w:suppressAutoHyphens w:val="0"/>
        <w:autoSpaceDE w:val="0"/>
        <w:autoSpaceDN w:val="0"/>
        <w:adjustRightInd w:val="0"/>
        <w:jc w:val="both"/>
        <w:rPr>
          <w:rFonts w:eastAsiaTheme="minorHAnsi"/>
          <w:lang w:val="uk-UA" w:eastAsia="en-US"/>
        </w:rPr>
      </w:pPr>
      <w:r>
        <w:rPr>
          <w:rFonts w:eastAsiaTheme="minorHAnsi"/>
          <w:lang w:val="uk-UA" w:eastAsia="en-US"/>
        </w:rPr>
        <w:t>11</w:t>
      </w:r>
      <w:r w:rsidR="003A1855">
        <w:rPr>
          <w:rFonts w:eastAsiaTheme="minorHAnsi"/>
          <w:lang w:val="uk-UA" w:eastAsia="en-US"/>
        </w:rPr>
        <w:t xml:space="preserve">.2. </w:t>
      </w:r>
      <w:r w:rsidR="00552739" w:rsidRPr="00EA3261">
        <w:rPr>
          <w:rFonts w:eastAsiaTheme="minorHAnsi"/>
          <w:lang w:val="uk-UA" w:eastAsia="en-US"/>
        </w:rPr>
        <w:t xml:space="preserve">При поставці товару </w:t>
      </w:r>
      <w:r w:rsidR="003A1855">
        <w:rPr>
          <w:rFonts w:eastAsiaTheme="minorHAnsi"/>
          <w:lang w:val="uk-UA" w:eastAsia="en-US"/>
        </w:rPr>
        <w:t xml:space="preserve">до закладу Замовника, </w:t>
      </w:r>
      <w:r w:rsidR="00552739" w:rsidRPr="00EA3261">
        <w:rPr>
          <w:rFonts w:eastAsiaTheme="minorHAnsi"/>
          <w:lang w:val="uk-UA" w:eastAsia="en-US"/>
        </w:rPr>
        <w:t>Постачальник надає такі документи:</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видаткову накладну на товар;</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товар</w:t>
      </w:r>
      <w:r>
        <w:rPr>
          <w:rFonts w:eastAsiaTheme="minorHAnsi"/>
          <w:lang w:val="uk-UA" w:eastAsia="en-US"/>
        </w:rPr>
        <w:t>н</w:t>
      </w:r>
      <w:r w:rsidRPr="00EA3261">
        <w:rPr>
          <w:rFonts w:eastAsiaTheme="minorHAnsi"/>
          <w:lang w:val="uk-UA" w:eastAsia="en-US"/>
        </w:rPr>
        <w:t>о-транспортну накладну;</w:t>
      </w:r>
    </w:p>
    <w:p w:rsidR="00552739"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xml:space="preserve">- документи, що підтверджують якість товару (сертифікати, декларації, </w:t>
      </w:r>
      <w:r>
        <w:rPr>
          <w:rFonts w:eastAsiaTheme="minorHAnsi"/>
          <w:lang w:val="uk-UA" w:eastAsia="en-US"/>
        </w:rPr>
        <w:t>висновки тощо).</w:t>
      </w:r>
    </w:p>
    <w:p w:rsidR="00784141" w:rsidRPr="00B124FF" w:rsidRDefault="00552739" w:rsidP="00A61B7F">
      <w:pPr>
        <w:jc w:val="both"/>
        <w:rPr>
          <w:lang w:val="uk-UA"/>
        </w:rPr>
      </w:pPr>
      <w:r w:rsidRPr="00552739">
        <w:rPr>
          <w:bCs/>
          <w:lang w:val="uk-UA"/>
        </w:rPr>
        <w:t>1</w:t>
      </w:r>
      <w:r w:rsidR="009B748E">
        <w:rPr>
          <w:bCs/>
          <w:lang w:val="uk-UA"/>
        </w:rPr>
        <w:t>1</w:t>
      </w:r>
      <w:r w:rsidRPr="00552739">
        <w:rPr>
          <w:bCs/>
          <w:lang w:val="uk-UA"/>
        </w:rPr>
        <w:t>.</w:t>
      </w:r>
      <w:r w:rsidR="003A1855">
        <w:rPr>
          <w:bCs/>
          <w:lang w:val="uk-UA"/>
        </w:rPr>
        <w:t>3</w:t>
      </w:r>
      <w:r>
        <w:rPr>
          <w:bCs/>
          <w:lang w:val="uk-UA"/>
        </w:rPr>
        <w:t xml:space="preserve">. </w:t>
      </w:r>
      <w:r w:rsidR="00784141" w:rsidRPr="00552739">
        <w:rPr>
          <w:lang w:val="uk-UA"/>
        </w:rPr>
        <w:t xml:space="preserve">При виявленні Замовником простроченого терміну придатності товару, будь-чого іншого, що може якимось чином вплинути на </w:t>
      </w:r>
      <w:r w:rsidR="00784141">
        <w:rPr>
          <w:lang w:val="uk-UA"/>
        </w:rPr>
        <w:t xml:space="preserve">якісні </w:t>
      </w:r>
      <w:r w:rsidR="00784141" w:rsidRPr="009409FF">
        <w:t xml:space="preserve">характеристики товару, </w:t>
      </w:r>
      <w:r w:rsidR="00784141" w:rsidRPr="00B124FF">
        <w:rPr>
          <w:lang w:val="uk-UA"/>
        </w:rPr>
        <w:t>Учасник  повинен замінити товар в асортименті та кількості, вказаній в заявці Замовника.</w:t>
      </w:r>
    </w:p>
    <w:p w:rsidR="00784141" w:rsidRPr="00B124FF" w:rsidRDefault="009B748E" w:rsidP="00A61B7F">
      <w:pPr>
        <w:tabs>
          <w:tab w:val="left" w:pos="709"/>
        </w:tabs>
        <w:jc w:val="both"/>
        <w:rPr>
          <w:bCs/>
          <w:lang w:val="uk-UA"/>
        </w:rPr>
      </w:pPr>
      <w:r>
        <w:rPr>
          <w:bCs/>
          <w:lang w:val="uk-UA"/>
        </w:rPr>
        <w:t>11</w:t>
      </w:r>
      <w:r w:rsidR="00784141">
        <w:rPr>
          <w:bCs/>
          <w:lang w:val="uk-UA"/>
        </w:rPr>
        <w:t xml:space="preserve">.4. </w:t>
      </w:r>
      <w:r w:rsidR="00784141" w:rsidRPr="00B124FF">
        <w:rPr>
          <w:bCs/>
          <w:lang w:val="uk-UA"/>
        </w:rPr>
        <w:t xml:space="preserve">На  недоброякісний  товар складається акт, і він повертається постачальнику. </w:t>
      </w:r>
    </w:p>
    <w:p w:rsidR="00552739" w:rsidRDefault="009B748E" w:rsidP="00A61B7F">
      <w:pPr>
        <w:jc w:val="both"/>
        <w:textAlignment w:val="baseline"/>
        <w:rPr>
          <w:lang w:val="uk-UA"/>
        </w:rPr>
      </w:pPr>
      <w:r>
        <w:rPr>
          <w:bCs/>
          <w:lang w:val="uk-UA"/>
        </w:rPr>
        <w:t>11</w:t>
      </w:r>
      <w:r w:rsidR="00784141">
        <w:rPr>
          <w:bCs/>
          <w:lang w:val="uk-UA"/>
        </w:rPr>
        <w:t xml:space="preserve">.5. </w:t>
      </w:r>
      <w:r w:rsidR="003A1855" w:rsidRPr="00E952D6">
        <w:rPr>
          <w:lang w:val="uk-UA"/>
        </w:rPr>
        <w:t xml:space="preserve">При перевезенні </w:t>
      </w:r>
      <w:r w:rsidR="00784141">
        <w:rPr>
          <w:lang w:val="uk-UA"/>
        </w:rPr>
        <w:t>товару</w:t>
      </w:r>
      <w:r w:rsidR="003A1855" w:rsidRPr="00E952D6">
        <w:rPr>
          <w:lang w:val="uk-UA"/>
        </w:rPr>
        <w:t xml:space="preserve"> Учасник зобов’язаний дотримуватися умов транспортування відповідно до Правил перевезень вантажів автомобільним транспортом в Україні.</w:t>
      </w:r>
      <w:r w:rsidR="003A1855">
        <w:rPr>
          <w:lang w:val="uk-UA"/>
        </w:rPr>
        <w:t xml:space="preserve"> </w:t>
      </w:r>
      <w:r w:rsidR="00552739" w:rsidRPr="00552739">
        <w:rPr>
          <w:lang w:val="uk-UA"/>
        </w:rPr>
        <w:t>Тара, упаковка, маркування</w:t>
      </w:r>
      <w:r w:rsidR="00552739" w:rsidRPr="00552739">
        <w:rPr>
          <w:b/>
          <w:lang w:val="uk-UA"/>
        </w:rPr>
        <w:t>:</w:t>
      </w:r>
      <w:r w:rsidR="00552739" w:rsidRPr="00552739">
        <w:rPr>
          <w:lang w:val="uk-UA"/>
        </w:rPr>
        <w:t xml:space="preserve"> поставка предмету закупівлі здійснюється в тарі,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784141" w:rsidRDefault="009B748E" w:rsidP="00A61B7F">
      <w:pPr>
        <w:tabs>
          <w:tab w:val="left" w:pos="709"/>
        </w:tabs>
        <w:jc w:val="both"/>
        <w:rPr>
          <w:rFonts w:eastAsiaTheme="minorHAnsi"/>
          <w:lang w:val="uk-UA" w:eastAsia="en-US"/>
        </w:rPr>
      </w:pPr>
      <w:r>
        <w:rPr>
          <w:lang w:val="uk-UA"/>
        </w:rPr>
        <w:t>11</w:t>
      </w:r>
      <w:r w:rsidR="00784141">
        <w:rPr>
          <w:lang w:val="uk-UA"/>
        </w:rPr>
        <w:t xml:space="preserve">.6. </w:t>
      </w:r>
      <w:r w:rsidR="00784141" w:rsidRPr="00B124FF">
        <w:rPr>
          <w:rStyle w:val="a6"/>
          <w:b w:val="0"/>
          <w:lang w:val="uk-UA"/>
        </w:rPr>
        <w:t>Вимоги до транспортування</w:t>
      </w:r>
      <w:r w:rsidR="00784141" w:rsidRPr="00B124FF">
        <w:rPr>
          <w:rStyle w:val="a6"/>
          <w:lang w:val="uk-UA"/>
        </w:rPr>
        <w:t xml:space="preserve">: </w:t>
      </w:r>
      <w:r w:rsidR="00784141" w:rsidRPr="00B124FF">
        <w:rPr>
          <w:color w:val="000000"/>
          <w:shd w:val="clear" w:color="auto" w:fill="FFFFFF"/>
          <w:lang w:val="uk-UA"/>
        </w:rPr>
        <w:t xml:space="preserve">для транспортування предмету закупівлі повинен бути виділений спеціалізований транспорт, який повинен бути чистим, таким, що забезпечує необхідний температурний режим, захист товару від забруднення, в технічно – справному стані, з обов’язковим дотриманням санітарних вимог щодо сумісності продуктів харчування. </w:t>
      </w:r>
      <w:r w:rsidR="00784141" w:rsidRPr="00B124FF">
        <w:rPr>
          <w:rFonts w:eastAsiaTheme="minorHAnsi"/>
          <w:lang w:val="uk-UA" w:eastAsia="en-US"/>
        </w:rPr>
        <w:t xml:space="preserve">Доставка </w:t>
      </w:r>
      <w:r w:rsidR="00784141" w:rsidRPr="00B124FF">
        <w:rPr>
          <w:rFonts w:eastAsiaTheme="minorHAnsi"/>
          <w:lang w:val="uk-UA" w:eastAsia="en-US"/>
        </w:rPr>
        <w:lastRenderedPageBreak/>
        <w:t>товару буде  здійснюватися автотранспортом згідно з Правилами перевезень ван</w:t>
      </w:r>
      <w:r w:rsidR="00784141">
        <w:rPr>
          <w:rFonts w:eastAsiaTheme="minorHAnsi"/>
          <w:lang w:val="uk-UA" w:eastAsia="en-US"/>
        </w:rPr>
        <w:t>тажів автомобільним транспортом</w:t>
      </w:r>
      <w:r w:rsidR="00784141" w:rsidRPr="00B124FF">
        <w:rPr>
          <w:rFonts w:eastAsiaTheme="minorHAnsi"/>
          <w:lang w:val="uk-UA" w:eastAsia="en-US"/>
        </w:rPr>
        <w:t>.</w:t>
      </w:r>
      <w:r w:rsidR="00784141">
        <w:rPr>
          <w:rFonts w:eastAsiaTheme="minorHAnsi"/>
          <w:lang w:val="uk-UA" w:eastAsia="en-US"/>
        </w:rPr>
        <w:t xml:space="preserve"> </w:t>
      </w:r>
    </w:p>
    <w:p w:rsidR="009B748E" w:rsidRPr="00B124FF" w:rsidRDefault="009B748E" w:rsidP="00A61B7F">
      <w:pPr>
        <w:jc w:val="both"/>
        <w:rPr>
          <w:lang w:val="uk-UA" w:eastAsia="ru-RU"/>
        </w:rPr>
      </w:pPr>
      <w:r>
        <w:rPr>
          <w:lang w:val="uk-UA"/>
        </w:rPr>
        <w:t>11</w:t>
      </w:r>
      <w:r w:rsidR="00784141">
        <w:rPr>
          <w:lang w:val="uk-UA"/>
        </w:rPr>
        <w:t xml:space="preserve">.7. </w:t>
      </w:r>
      <w:r w:rsidRPr="00B124FF">
        <w:rPr>
          <w:lang w:val="uk-UA" w:eastAsia="ru-RU"/>
        </w:rPr>
        <w:t>Розвантаження товару здійснюється представником Постачальника.</w:t>
      </w:r>
    </w:p>
    <w:p w:rsidR="009B748E" w:rsidRDefault="009B748E" w:rsidP="00A61B7F">
      <w:pPr>
        <w:tabs>
          <w:tab w:val="left" w:pos="709"/>
        </w:tabs>
        <w:jc w:val="both"/>
        <w:rPr>
          <w:lang w:val="uk-UA"/>
        </w:rPr>
      </w:pPr>
    </w:p>
    <w:p w:rsidR="00784141" w:rsidRPr="009B748E" w:rsidRDefault="009B748E" w:rsidP="00A61B7F">
      <w:pPr>
        <w:tabs>
          <w:tab w:val="left" w:pos="709"/>
        </w:tabs>
        <w:jc w:val="both"/>
        <w:rPr>
          <w:rFonts w:eastAsiaTheme="minorHAnsi"/>
          <w:b/>
          <w:lang w:val="uk-UA" w:eastAsia="en-US"/>
        </w:rPr>
      </w:pPr>
      <w:r>
        <w:rPr>
          <w:lang w:val="uk-UA"/>
        </w:rPr>
        <w:t>12</w:t>
      </w:r>
      <w:r w:rsidRPr="009B748E">
        <w:rPr>
          <w:b/>
          <w:lang w:val="uk-UA"/>
        </w:rPr>
        <w:t xml:space="preserve">.  </w:t>
      </w:r>
      <w:r w:rsidR="00784141" w:rsidRPr="009B748E">
        <w:rPr>
          <w:rFonts w:eastAsiaTheme="minorHAnsi"/>
          <w:b/>
          <w:lang w:val="uk-UA" w:eastAsia="en-US"/>
        </w:rPr>
        <w:t>В складі пропозиції надати:</w:t>
      </w:r>
    </w:p>
    <w:p w:rsidR="009B748E" w:rsidRPr="00093BCA" w:rsidRDefault="00093BCA" w:rsidP="00A61B7F">
      <w:pPr>
        <w:pStyle w:val="a3"/>
        <w:numPr>
          <w:ilvl w:val="1"/>
          <w:numId w:val="20"/>
        </w:numPr>
        <w:suppressAutoHyphens w:val="0"/>
        <w:ind w:left="0" w:firstLine="0"/>
        <w:contextualSpacing/>
        <w:jc w:val="both"/>
        <w:rPr>
          <w:lang w:val="uk-UA"/>
        </w:rPr>
      </w:pPr>
      <w:r w:rsidRPr="00093BCA">
        <w:rPr>
          <w:lang w:val="uk-UA"/>
        </w:rPr>
        <w:t>Водій та особи, які супроводжують товар в дорозі та виконують вантажно-розвантажувальні роботи, повинні мати медичну книжку (встановленої форми) з результатами проходження обов’язкового медичного огляду та забезпечені санітарним одягом (халат, рукавички). В складі пропозиції надати копії медичних книжок на вищезазначених осіб.</w:t>
      </w:r>
    </w:p>
    <w:p w:rsidR="009B748E" w:rsidRPr="009B748E" w:rsidRDefault="009B748E" w:rsidP="00A61B7F">
      <w:pPr>
        <w:pStyle w:val="a3"/>
        <w:numPr>
          <w:ilvl w:val="1"/>
          <w:numId w:val="20"/>
        </w:numPr>
        <w:suppressAutoHyphens w:val="0"/>
        <w:ind w:left="0" w:firstLine="0"/>
        <w:contextualSpacing/>
        <w:jc w:val="both"/>
        <w:rPr>
          <w:lang w:val="uk-UA"/>
        </w:rPr>
      </w:pPr>
      <w:r w:rsidRPr="009B748E">
        <w:rPr>
          <w:color w:val="000000"/>
          <w:lang w:val="uk-UA"/>
        </w:rPr>
        <w:t xml:space="preserve">Договір про надання послуг бактеріологічного контролю якості дезінфекції. Надати результати бактеріологічного контролю якості дезінфекції, оформлені у вигляді результатів лабораторних досліджень (протокол, висновок тощо), на складське приміщення, тару, піддони та автотранспортний засіб на </w:t>
      </w:r>
      <w:proofErr w:type="spellStart"/>
      <w:r w:rsidRPr="009B748E">
        <w:rPr>
          <w:color w:val="000000"/>
          <w:lang w:val="uk-UA"/>
        </w:rPr>
        <w:t>ім»я</w:t>
      </w:r>
      <w:proofErr w:type="spellEnd"/>
      <w:r w:rsidRPr="009B748E">
        <w:rPr>
          <w:color w:val="000000"/>
          <w:lang w:val="uk-UA"/>
        </w:rPr>
        <w:t xml:space="preserve"> учасника. </w:t>
      </w:r>
    </w:p>
    <w:p w:rsidR="009B748E" w:rsidRPr="005079E5" w:rsidRDefault="009B748E" w:rsidP="00A61B7F">
      <w:pPr>
        <w:pStyle w:val="a3"/>
        <w:numPr>
          <w:ilvl w:val="1"/>
          <w:numId w:val="20"/>
        </w:numPr>
        <w:suppressAutoHyphens w:val="0"/>
        <w:ind w:left="0" w:firstLine="0"/>
        <w:contextualSpacing/>
        <w:jc w:val="both"/>
        <w:rPr>
          <w:lang w:val="uk-UA"/>
        </w:rPr>
      </w:pPr>
      <w:r w:rsidRPr="009B748E">
        <w:rPr>
          <w:color w:val="000000"/>
          <w:lang w:val="uk-UA"/>
        </w:rPr>
        <w:t xml:space="preserve">Експертний висновок, що виданий акредитованою лабораторією не раніше 2022 року, щодо вимірювання потужності гамма-випромінювання (радіологічний контроль) в транспортних засобах, , та підтверджує </w:t>
      </w:r>
      <w:proofErr w:type="spellStart"/>
      <w:r w:rsidRPr="009B748E">
        <w:rPr>
          <w:color w:val="000000"/>
          <w:lang w:val="uk-UA"/>
        </w:rPr>
        <w:t>іх</w:t>
      </w:r>
      <w:proofErr w:type="spellEnd"/>
      <w:r w:rsidRPr="009B748E">
        <w:rPr>
          <w:color w:val="000000"/>
          <w:lang w:val="uk-UA"/>
        </w:rPr>
        <w:t xml:space="preserve"> відповідність вимогам НРБУ-97/2000 «Норми радіаційної безпеки України»</w:t>
      </w:r>
      <w:r w:rsidR="00545811">
        <w:rPr>
          <w:color w:val="000000"/>
          <w:lang w:val="uk-UA"/>
        </w:rPr>
        <w:t>.</w:t>
      </w:r>
    </w:p>
    <w:p w:rsidR="005079E5" w:rsidRPr="000C58FE" w:rsidRDefault="005079E5" w:rsidP="005079E5">
      <w:pPr>
        <w:pStyle w:val="a3"/>
        <w:numPr>
          <w:ilvl w:val="1"/>
          <w:numId w:val="20"/>
        </w:numPr>
        <w:suppressAutoHyphens w:val="0"/>
        <w:ind w:left="0" w:firstLine="0"/>
        <w:contextualSpacing/>
        <w:jc w:val="both"/>
        <w:rPr>
          <w:lang w:val="uk-UA"/>
        </w:rPr>
      </w:pPr>
      <w:r w:rsidRPr="000C58FE">
        <w:rPr>
          <w:color w:val="000000"/>
          <w:shd w:val="clear" w:color="auto" w:fill="FFFFFF"/>
          <w:lang w:val="uk-UA"/>
        </w:rPr>
        <w:t>Експертний висновок регіональної державної лабораторії ветеринарної медицини на показники безпеки, виданий не раніше 2022 року</w:t>
      </w:r>
      <w:r>
        <w:rPr>
          <w:color w:val="000000"/>
          <w:shd w:val="clear" w:color="auto" w:fill="FFFFFF"/>
          <w:lang w:val="uk-UA"/>
        </w:rPr>
        <w:t>.</w:t>
      </w:r>
    </w:p>
    <w:p w:rsidR="00545811" w:rsidRPr="0064188B" w:rsidRDefault="00545811" w:rsidP="00545811">
      <w:pPr>
        <w:pStyle w:val="a3"/>
        <w:numPr>
          <w:ilvl w:val="1"/>
          <w:numId w:val="20"/>
        </w:numPr>
        <w:suppressAutoHyphens w:val="0"/>
        <w:ind w:left="0" w:firstLine="0"/>
        <w:contextualSpacing/>
        <w:jc w:val="both"/>
        <w:rPr>
          <w:lang w:val="uk-UA"/>
        </w:rPr>
      </w:pPr>
      <w:proofErr w:type="spellStart"/>
      <w:r>
        <w:rPr>
          <w:lang w:val="uk-UA"/>
        </w:rPr>
        <w:t>Скан-копію</w:t>
      </w:r>
      <w:proofErr w:type="spellEnd"/>
      <w:r w:rsidRPr="0064188B">
        <w:rPr>
          <w:lang w:val="uk-UA"/>
        </w:rPr>
        <w:t xml:space="preserve"> сертифікату на систему управління безпечністю харчових продуктів відповідно до ДСТУ </w:t>
      </w:r>
      <w:r w:rsidRPr="00F06C9A">
        <w:t>ISO</w:t>
      </w:r>
      <w:r w:rsidRPr="0064188B">
        <w:rPr>
          <w:lang w:val="uk-UA"/>
        </w:rPr>
        <w:t xml:space="preserve"> 22000:2019 (</w:t>
      </w:r>
      <w:r w:rsidRPr="00F06C9A">
        <w:t>ISO</w:t>
      </w:r>
      <w:r w:rsidRPr="0064188B">
        <w:rPr>
          <w:lang w:val="uk-UA"/>
        </w:rPr>
        <w:t xml:space="preserve"> 22000:2018, </w:t>
      </w:r>
      <w:r w:rsidRPr="00F06C9A">
        <w:t>IDT</w:t>
      </w:r>
      <w:r w:rsidRPr="0064188B">
        <w:rPr>
          <w:lang w:val="uk-UA"/>
        </w:rPr>
        <w:t>), у тому числі щодо провадження діяльності з торгівлі (постачання), складування, зберігання, відвантаження, транспортування;</w:t>
      </w:r>
    </w:p>
    <w:p w:rsidR="00545811" w:rsidRPr="00545811" w:rsidRDefault="00545811" w:rsidP="00545811">
      <w:pPr>
        <w:pStyle w:val="a3"/>
        <w:numPr>
          <w:ilvl w:val="1"/>
          <w:numId w:val="20"/>
        </w:numPr>
        <w:suppressAutoHyphens w:val="0"/>
        <w:ind w:left="0" w:firstLine="0"/>
        <w:contextualSpacing/>
        <w:jc w:val="both"/>
        <w:rPr>
          <w:lang w:val="uk-UA"/>
        </w:rPr>
      </w:pPr>
      <w:r w:rsidRPr="00545811">
        <w:rPr>
          <w:lang w:val="uk-UA"/>
        </w:rPr>
        <w:t>Надати результати бактеріологічного контролю якості дезінфекції  на складське приміщення, тару, піддони та автотранспортний засіб, оформлені у вигляді Експертного висновку, (виданого акредитованою лабораторією не раніше 2го кварталу 2023р,  на ім’</w:t>
      </w:r>
      <w:r w:rsidRPr="0064188B">
        <w:rPr>
          <w:lang w:val="uk-UA"/>
        </w:rPr>
        <w:t>я</w:t>
      </w:r>
      <w:r w:rsidRPr="00545811">
        <w:rPr>
          <w:lang w:val="uk-UA"/>
        </w:rPr>
        <w:t xml:space="preserve"> учасника)</w:t>
      </w:r>
      <w:bookmarkStart w:id="0" w:name="_GoBack"/>
      <w:bookmarkEnd w:id="0"/>
      <w:r w:rsidRPr="00545811">
        <w:rPr>
          <w:lang w:val="uk-UA"/>
        </w:rPr>
        <w:t>.</w:t>
      </w:r>
    </w:p>
    <w:p w:rsidR="009B748E" w:rsidRPr="009B748E" w:rsidRDefault="009B748E" w:rsidP="00A61B7F">
      <w:pPr>
        <w:pStyle w:val="a3"/>
        <w:numPr>
          <w:ilvl w:val="1"/>
          <w:numId w:val="20"/>
        </w:numPr>
        <w:suppressAutoHyphens w:val="0"/>
        <w:ind w:left="0" w:firstLine="0"/>
        <w:contextualSpacing/>
        <w:jc w:val="both"/>
        <w:rPr>
          <w:lang w:val="uk-UA"/>
        </w:rPr>
      </w:pPr>
      <w:r w:rsidRPr="009B748E">
        <w:rPr>
          <w:color w:val="000000"/>
          <w:lang w:val="uk-UA"/>
        </w:rPr>
        <w:t xml:space="preserve">Для забезпечення виконання вимог Закону України «Про метрологію та метрологічну діяльність» від «05» червня 2014 року №1314-VІІ та Наказ Міністерства економічного розвитку і торгівлі України №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надати документи, підтверджуючі повірку </w:t>
      </w:r>
      <w:proofErr w:type="spellStart"/>
      <w:r w:rsidRPr="009B748E">
        <w:rPr>
          <w:color w:val="000000"/>
          <w:lang w:val="uk-UA"/>
        </w:rPr>
        <w:t>вагів</w:t>
      </w:r>
      <w:proofErr w:type="spellEnd"/>
      <w:r w:rsidRPr="009B748E">
        <w:rPr>
          <w:color w:val="000000"/>
          <w:lang w:val="uk-UA"/>
        </w:rPr>
        <w:t xml:space="preserve">, що видане акредитованою лабораторією </w:t>
      </w:r>
      <w:proofErr w:type="spellStart"/>
      <w:r w:rsidRPr="009B748E">
        <w:rPr>
          <w:color w:val="000000"/>
          <w:lang w:val="uk-UA"/>
        </w:rPr>
        <w:t>.Надати</w:t>
      </w:r>
      <w:proofErr w:type="spellEnd"/>
      <w:r w:rsidRPr="009B748E">
        <w:rPr>
          <w:color w:val="000000"/>
          <w:lang w:val="uk-UA"/>
        </w:rPr>
        <w:t xml:space="preserve"> Свідоцтво про уповноваження </w:t>
      </w:r>
      <w:proofErr w:type="spellStart"/>
      <w:r w:rsidRPr="009B748E">
        <w:rPr>
          <w:color w:val="000000"/>
          <w:lang w:val="uk-UA"/>
        </w:rPr>
        <w:t>повірочної</w:t>
      </w:r>
      <w:proofErr w:type="spellEnd"/>
      <w:r w:rsidRPr="009B748E">
        <w:rPr>
          <w:color w:val="000000"/>
          <w:lang w:val="uk-UA"/>
        </w:rPr>
        <w:t xml:space="preserve"> лабораторії на проведення повірки засобів вимірювальної техніки, що перебувають в експлуатації та застосовуються у сфері законодавчо регульованої метрології, видане Міністерством економіки, торгівлі та сільського господарства України та галузь уповноваження.</w:t>
      </w:r>
    </w:p>
    <w:p w:rsidR="009B748E" w:rsidRPr="009B748E" w:rsidRDefault="009B748E" w:rsidP="00A61B7F">
      <w:pPr>
        <w:pStyle w:val="a3"/>
        <w:numPr>
          <w:ilvl w:val="1"/>
          <w:numId w:val="20"/>
        </w:numPr>
        <w:suppressAutoHyphens w:val="0"/>
        <w:ind w:left="0" w:firstLine="0"/>
        <w:contextualSpacing/>
        <w:jc w:val="both"/>
        <w:rPr>
          <w:lang w:val="uk-UA"/>
        </w:rPr>
      </w:pPr>
      <w:r>
        <w:rPr>
          <w:color w:val="000000"/>
          <w:lang w:val="uk-UA"/>
        </w:rPr>
        <w:t xml:space="preserve"> </w:t>
      </w:r>
      <w:r w:rsidRPr="009B748E">
        <w:rPr>
          <w:color w:val="000000"/>
          <w:lang w:val="uk-UA"/>
        </w:rPr>
        <w:t>З метою підтвердження запровадження обов’язкових постійно діючих процедур, заснованих на принципах Системи управління охороною здоров’я та безпекою праці, учасник надає документи, що підтверджують те, що Учасник або Перевізник (у разі, якщо Учасником для перевезення предмету закупівлі залучається суб’єкт господарювання (Перевізник)) та Зберігач (у разі, якщо Учасником будуть залучатись потужності (</w:t>
      </w:r>
      <w:proofErr w:type="spellStart"/>
      <w:r w:rsidRPr="009B748E">
        <w:rPr>
          <w:color w:val="000000"/>
          <w:lang w:val="uk-UA"/>
        </w:rPr>
        <w:t>-ть</w:t>
      </w:r>
      <w:proofErr w:type="spellEnd"/>
      <w:r w:rsidRPr="009B748E">
        <w:rPr>
          <w:color w:val="000000"/>
          <w:lang w:val="uk-UA"/>
        </w:rPr>
        <w:t>) на будь-якій стадії виробництві та/або в обігу предмету закупівлі, при умові, що для зберігання харчових продуктів використовуються потужності, які належать іншим особам (Зберігач, тощо)), запровадив систему управління охороною здоров’я та безпекою праці, а саме: сертифікат (який є чинний на дату подання пропозиції), що посвідчує, що система управління охороною здоров’я та безпекою праці відповідає ДСТУ ISO 45001:2019 «Системи управління охороною здоров’я та безпекою праці. Вимоги та настанови щодо застосування (ISO 45001:2018, IDT)».</w:t>
      </w:r>
    </w:p>
    <w:p w:rsidR="009B748E" w:rsidRPr="009B748E" w:rsidRDefault="009B748E" w:rsidP="00A61B7F">
      <w:pPr>
        <w:pStyle w:val="a3"/>
        <w:numPr>
          <w:ilvl w:val="1"/>
          <w:numId w:val="20"/>
        </w:numPr>
        <w:suppressAutoHyphens w:val="0"/>
        <w:ind w:left="0" w:firstLine="0"/>
        <w:contextualSpacing/>
        <w:jc w:val="both"/>
        <w:rPr>
          <w:lang w:val="uk-UA"/>
        </w:rPr>
      </w:pPr>
      <w:r w:rsidRPr="009B748E">
        <w:rPr>
          <w:color w:val="000000"/>
          <w:lang w:val="uk-UA"/>
        </w:rPr>
        <w:t>Сертифікат, що підтверджує застосування учасником вимог ДСТУ ISО 14001:2015 Системи екологічного управління,</w:t>
      </w:r>
      <w:r w:rsidRPr="009B748E">
        <w:rPr>
          <w:color w:val="000000"/>
          <w:sz w:val="27"/>
          <w:szCs w:val="27"/>
          <w:lang w:val="uk-UA"/>
        </w:rPr>
        <w:t xml:space="preserve"> </w:t>
      </w:r>
      <w:r w:rsidRPr="009B748E">
        <w:rPr>
          <w:color w:val="000000"/>
          <w:lang w:val="uk-UA"/>
        </w:rPr>
        <w:t>документ, має бути виданий органом з сертифікації, акредитованого НААУ. Вимоги та настанови щодо застосування виданого на ім'я учасника відповідно до виду діяльності (у разі якщо Учасник виробник: виробництво, зберігання, торгівля транспортування; у разі якщо Учасник не виробник: зберігання, складування, торгівля, транспортування) та містити інформацію щодо адреси потужності учасника .</w:t>
      </w:r>
    </w:p>
    <w:p w:rsidR="009B748E" w:rsidRPr="009B748E" w:rsidRDefault="009B748E" w:rsidP="00A61B7F">
      <w:pPr>
        <w:pStyle w:val="a3"/>
        <w:numPr>
          <w:ilvl w:val="1"/>
          <w:numId w:val="20"/>
        </w:numPr>
        <w:suppressAutoHyphens w:val="0"/>
        <w:ind w:left="0" w:firstLine="0"/>
        <w:contextualSpacing/>
        <w:jc w:val="both"/>
        <w:rPr>
          <w:lang w:val="uk-UA"/>
        </w:rPr>
      </w:pPr>
      <w:r>
        <w:rPr>
          <w:lang w:val="uk-UA"/>
        </w:rPr>
        <w:t xml:space="preserve"> </w:t>
      </w:r>
      <w:r w:rsidRPr="009B748E">
        <w:rPr>
          <w:lang w:val="uk-UA"/>
        </w:rPr>
        <w:t xml:space="preserve">Документи, що підтверджують впровадження на підприємстві Учасника системі управління щодо протидії корупції, який відповідає вимогам ДСТУ ISO 37001:2018, чинних на дату розкриття </w:t>
      </w:r>
      <w:proofErr w:type="spellStart"/>
      <w:r w:rsidRPr="009B748E">
        <w:rPr>
          <w:lang w:val="uk-UA"/>
        </w:rPr>
        <w:t>тендерених</w:t>
      </w:r>
      <w:proofErr w:type="spellEnd"/>
      <w:r w:rsidRPr="009B748E">
        <w:rPr>
          <w:lang w:val="uk-UA"/>
        </w:rPr>
        <w:t xml:space="preserve"> пропозицій.</w:t>
      </w:r>
    </w:p>
    <w:p w:rsidR="0064188B" w:rsidRDefault="009B748E" w:rsidP="00545811">
      <w:pPr>
        <w:pStyle w:val="a3"/>
        <w:numPr>
          <w:ilvl w:val="1"/>
          <w:numId w:val="20"/>
        </w:numPr>
        <w:suppressAutoHyphens w:val="0"/>
        <w:ind w:left="0" w:firstLine="0"/>
        <w:contextualSpacing/>
        <w:jc w:val="both"/>
        <w:rPr>
          <w:lang w:val="uk-UA"/>
        </w:rPr>
      </w:pPr>
      <w:r w:rsidRPr="009B748E">
        <w:rPr>
          <w:lang w:val="uk-UA"/>
        </w:rPr>
        <w:lastRenderedPageBreak/>
        <w:t xml:space="preserve">Акт </w:t>
      </w:r>
      <w:proofErr w:type="spellStart"/>
      <w:r w:rsidRPr="009B748E">
        <w:rPr>
          <w:lang w:val="uk-UA"/>
        </w:rPr>
        <w:t>Держпродспоживслужби</w:t>
      </w:r>
      <w:proofErr w:type="spellEnd"/>
      <w:r w:rsidRPr="009B748E">
        <w:rPr>
          <w:lang w:val="uk-UA"/>
        </w:rPr>
        <w:t xml:space="preserve">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виданого Учаснику не раніше грудня 2022 року. Із обов’язковим зазначенням в акті складського приміщення та транспортних (</w:t>
      </w:r>
      <w:proofErr w:type="spellStart"/>
      <w:r w:rsidRPr="009B748E">
        <w:rPr>
          <w:lang w:val="uk-UA"/>
        </w:rPr>
        <w:t>ого</w:t>
      </w:r>
      <w:proofErr w:type="spellEnd"/>
      <w:r w:rsidRPr="009B748E">
        <w:rPr>
          <w:lang w:val="uk-UA"/>
        </w:rPr>
        <w:t>) засобів (у), що використовуються Учасником, а також з відміткою про впровадження системи НАССР.</w:t>
      </w:r>
      <w:r w:rsidR="0064188B" w:rsidRPr="0064188B">
        <w:rPr>
          <w:lang w:val="uk-UA"/>
        </w:rPr>
        <w:t xml:space="preserve">   </w:t>
      </w:r>
    </w:p>
    <w:p w:rsidR="00545811" w:rsidRDefault="00545811" w:rsidP="00545811">
      <w:pPr>
        <w:pStyle w:val="a3"/>
        <w:suppressAutoHyphens w:val="0"/>
        <w:ind w:left="0"/>
        <w:contextualSpacing/>
        <w:jc w:val="both"/>
        <w:rPr>
          <w:lang w:val="uk-UA"/>
        </w:rPr>
      </w:pPr>
    </w:p>
    <w:p w:rsidR="00545811" w:rsidRPr="00545811" w:rsidRDefault="00545811" w:rsidP="00545811">
      <w:pPr>
        <w:pStyle w:val="a3"/>
        <w:suppressAutoHyphens w:val="0"/>
        <w:ind w:left="0"/>
        <w:contextualSpacing/>
        <w:jc w:val="both"/>
        <w:rPr>
          <w:lang w:val="uk-UA"/>
        </w:rPr>
      </w:pPr>
    </w:p>
    <w:p w:rsidR="00784141" w:rsidRPr="00631D6C" w:rsidRDefault="00A21BD0" w:rsidP="0064188B">
      <w:pPr>
        <w:suppressAutoHyphens w:val="0"/>
        <w:autoSpaceDE w:val="0"/>
        <w:autoSpaceDN w:val="0"/>
        <w:adjustRightInd w:val="0"/>
        <w:jc w:val="both"/>
        <w:rPr>
          <w:rFonts w:eastAsia="CIDFont+F2"/>
          <w:i/>
          <w:lang w:val="uk-UA"/>
        </w:rPr>
      </w:pPr>
      <w:r>
        <w:rPr>
          <w:rFonts w:eastAsia="CIDFont+F4"/>
          <w:i/>
          <w:lang w:val="uk-UA" w:eastAsia="en-US"/>
        </w:rPr>
        <w:t xml:space="preserve">  </w:t>
      </w:r>
      <w:r w:rsidR="00784141">
        <w:rPr>
          <w:rFonts w:eastAsia="CIDFont+F4"/>
          <w:i/>
          <w:lang w:val="uk-UA" w:eastAsia="en-US"/>
        </w:rPr>
        <w:t xml:space="preserve">(Примітка: </w:t>
      </w:r>
      <w:r w:rsidR="00784141" w:rsidRPr="00631D6C">
        <w:rPr>
          <w:rFonts w:eastAsia="CIDFont+F4"/>
          <w:i/>
          <w:lang w:val="uk-UA" w:eastAsia="en-US"/>
        </w:rPr>
        <w:t>Копі</w:t>
      </w:r>
      <w:r w:rsidR="00784141">
        <w:rPr>
          <w:rFonts w:eastAsia="CIDFont+F4"/>
          <w:i/>
          <w:lang w:val="uk-UA" w:eastAsia="en-US"/>
        </w:rPr>
        <w:t>ї</w:t>
      </w:r>
      <w:r w:rsidR="00784141" w:rsidRPr="00631D6C">
        <w:rPr>
          <w:rFonts w:eastAsia="CIDFont+F4"/>
          <w:i/>
          <w:lang w:val="uk-UA" w:eastAsia="en-US"/>
        </w:rPr>
        <w:t xml:space="preserve"> сертифікатів якості та/або копії висновків</w:t>
      </w:r>
      <w:r w:rsidR="00784141">
        <w:rPr>
          <w:rFonts w:eastAsia="CIDFont+F4"/>
          <w:i/>
          <w:lang w:val="uk-UA" w:eastAsia="en-US"/>
        </w:rPr>
        <w:t xml:space="preserve"> </w:t>
      </w:r>
      <w:r w:rsidR="00784141" w:rsidRPr="00AE1B9A">
        <w:rPr>
          <w:rFonts w:eastAsia="CIDFont+F4"/>
          <w:i/>
          <w:lang w:val="uk-UA" w:eastAsia="en-US"/>
        </w:rPr>
        <w:t>про якість товару з урахуванням того, що технічні, якісні характеристики Товару за</w:t>
      </w:r>
      <w:r w:rsidR="00784141">
        <w:rPr>
          <w:rFonts w:eastAsia="CIDFont+F4"/>
          <w:i/>
          <w:lang w:val="uk-UA" w:eastAsia="en-US"/>
        </w:rPr>
        <w:t xml:space="preserve"> </w:t>
      </w:r>
      <w:r w:rsidR="00784141" w:rsidRPr="00AE1B9A">
        <w:rPr>
          <w:rFonts w:eastAsia="CIDFont+F4"/>
          <w:i/>
          <w:lang w:val="uk-UA" w:eastAsia="en-US"/>
        </w:rPr>
        <w:t>предметом закупівлі повинні відповідати встановленим/зареєстрованим діючим</w:t>
      </w:r>
      <w:r w:rsidR="00784141">
        <w:rPr>
          <w:rFonts w:eastAsia="CIDFont+F4"/>
          <w:i/>
          <w:lang w:val="uk-UA" w:eastAsia="en-US"/>
        </w:rPr>
        <w:t xml:space="preserve"> </w:t>
      </w:r>
      <w:r w:rsidR="00784141" w:rsidRPr="00AE1B9A">
        <w:rPr>
          <w:rFonts w:eastAsia="CIDFont+F4"/>
          <w:i/>
          <w:lang w:val="uk-UA" w:eastAsia="en-US"/>
        </w:rPr>
        <w:t>нормативним актам діючого законодавства (державним стандартам (технічним умовам)</w:t>
      </w:r>
      <w:r w:rsidR="00784141">
        <w:rPr>
          <w:rFonts w:eastAsia="CIDFont+F4"/>
          <w:i/>
          <w:lang w:val="uk-UA" w:eastAsia="en-US"/>
        </w:rPr>
        <w:t xml:space="preserve"> </w:t>
      </w:r>
      <w:r w:rsidR="00784141" w:rsidRPr="00AE1B9A">
        <w:rPr>
          <w:rFonts w:eastAsia="CIDFont+F4"/>
          <w:i/>
          <w:lang w:val="uk-UA" w:eastAsia="en-US"/>
        </w:rPr>
        <w:t>ДСТУ - у разі якщо товар підлягає обов’язковій сертифікації/паспортизації, якщо ж ні, то</w:t>
      </w:r>
      <w:r w:rsidR="00784141">
        <w:rPr>
          <w:rFonts w:eastAsia="CIDFont+F4"/>
          <w:i/>
          <w:lang w:val="uk-UA" w:eastAsia="en-US"/>
        </w:rPr>
        <w:t xml:space="preserve"> </w:t>
      </w:r>
      <w:r w:rsidR="00784141" w:rsidRPr="00AE1B9A">
        <w:rPr>
          <w:rFonts w:eastAsia="CIDFont+F4"/>
          <w:i/>
          <w:lang w:val="uk-UA" w:eastAsia="en-US"/>
        </w:rPr>
        <w:t>надати довідку в довільній формі про необов’язковість сертифікації/паспортизації.)</w:t>
      </w:r>
    </w:p>
    <w:p w:rsidR="00BB4B3A" w:rsidRPr="00BB4B3A" w:rsidRDefault="00BB4B3A" w:rsidP="009460D8">
      <w:pPr>
        <w:jc w:val="both"/>
        <w:rPr>
          <w:rFonts w:eastAsia="CIDFont+F2"/>
          <w:strike/>
          <w:lang w:val="uk-UA"/>
        </w:rPr>
      </w:pPr>
    </w:p>
    <w:p w:rsidR="00432451" w:rsidRPr="001239C2" w:rsidRDefault="00996817" w:rsidP="00B011D4">
      <w:pPr>
        <w:jc w:val="both"/>
        <w:rPr>
          <w:lang w:val="uk-UA"/>
        </w:rPr>
      </w:pPr>
      <w:r w:rsidRPr="001239C2">
        <w:rPr>
          <w:lang w:val="uk-UA"/>
        </w:rPr>
        <w:t xml:space="preserve">    </w:t>
      </w:r>
    </w:p>
    <w:sectPr w:rsidR="00432451" w:rsidRPr="001239C2" w:rsidSect="006B745D">
      <w:pgSz w:w="11906" w:h="16838"/>
      <w:pgMar w:top="851" w:right="566" w:bottom="709"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4">
    <w:altName w:val="Arial Unicode MS"/>
    <w:panose1 w:val="00000000000000000000"/>
    <w:charset w:val="88"/>
    <w:family w:val="auto"/>
    <w:notTrueType/>
    <w:pitch w:val="default"/>
    <w:sig w:usb0="00000201" w:usb1="08080000" w:usb2="00000010" w:usb3="00000000" w:csb0="00100004" w:csb1="00000000"/>
  </w:font>
  <w:font w:name="Calibri">
    <w:panose1 w:val="020F0502020204030204"/>
    <w:charset w:val="CC"/>
    <w:family w:val="swiss"/>
    <w:pitch w:val="variable"/>
    <w:sig w:usb0="E0002AFF" w:usb1="C000247B" w:usb2="00000009" w:usb3="00000000" w:csb0="000001FF" w:csb1="00000000"/>
  </w:font>
  <w:font w:name="CIDFont+F2">
    <w:altName w:val="Yu Gothic"/>
    <w:charset w:val="80"/>
    <w:family w:val="auto"/>
    <w:pitch w:val="default"/>
    <w:sig w:usb0="00000201" w:usb1="0000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558"/>
    <w:multiLevelType w:val="hybridMultilevel"/>
    <w:tmpl w:val="D4DC8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ED3E7C"/>
    <w:multiLevelType w:val="hybridMultilevel"/>
    <w:tmpl w:val="A418C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965659"/>
    <w:multiLevelType w:val="hybridMultilevel"/>
    <w:tmpl w:val="817E3C1A"/>
    <w:lvl w:ilvl="0" w:tplc="7D50D9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BD02D4"/>
    <w:multiLevelType w:val="hybridMultilevel"/>
    <w:tmpl w:val="23F27C32"/>
    <w:lvl w:ilvl="0" w:tplc="B802A13C">
      <w:start w:val="3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D8F389B"/>
    <w:multiLevelType w:val="multilevel"/>
    <w:tmpl w:val="A56A46A8"/>
    <w:lvl w:ilvl="0">
      <w:start w:val="12"/>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nsid w:val="22BD7355"/>
    <w:multiLevelType w:val="hybridMultilevel"/>
    <w:tmpl w:val="5E08D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991C2E"/>
    <w:multiLevelType w:val="hybridMultilevel"/>
    <w:tmpl w:val="E41A5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CF7AA5"/>
    <w:multiLevelType w:val="hybridMultilevel"/>
    <w:tmpl w:val="CAF0131C"/>
    <w:lvl w:ilvl="0" w:tplc="BB0ADD3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646A5"/>
    <w:multiLevelType w:val="hybridMultilevel"/>
    <w:tmpl w:val="BF166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9D0660"/>
    <w:multiLevelType w:val="hybridMultilevel"/>
    <w:tmpl w:val="79CE3DB6"/>
    <w:lvl w:ilvl="0" w:tplc="2A485FE0">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987BF1"/>
    <w:multiLevelType w:val="hybridMultilevel"/>
    <w:tmpl w:val="1DCA1E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9500BA3"/>
    <w:multiLevelType w:val="hybridMultilevel"/>
    <w:tmpl w:val="459A9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322FD9"/>
    <w:multiLevelType w:val="hybridMultilevel"/>
    <w:tmpl w:val="16DAF22A"/>
    <w:lvl w:ilvl="0" w:tplc="564AAE58">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5748EF"/>
    <w:multiLevelType w:val="hybridMultilevel"/>
    <w:tmpl w:val="6A407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A106BA"/>
    <w:multiLevelType w:val="hybridMultilevel"/>
    <w:tmpl w:val="5DD64DF2"/>
    <w:lvl w:ilvl="0" w:tplc="9476F15E">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541C8C"/>
    <w:multiLevelType w:val="hybridMultilevel"/>
    <w:tmpl w:val="E4007CE2"/>
    <w:lvl w:ilvl="0" w:tplc="97DA26B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CB7614"/>
    <w:multiLevelType w:val="multilevel"/>
    <w:tmpl w:val="779E8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BD1B89"/>
    <w:multiLevelType w:val="hybridMultilevel"/>
    <w:tmpl w:val="13203B1A"/>
    <w:lvl w:ilvl="0" w:tplc="90244F84">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390FDF"/>
    <w:multiLevelType w:val="hybridMultilevel"/>
    <w:tmpl w:val="F0267764"/>
    <w:lvl w:ilvl="0" w:tplc="8D8243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8"/>
  </w:num>
  <w:num w:numId="7">
    <w:abstractNumId w:val="10"/>
  </w:num>
  <w:num w:numId="8">
    <w:abstractNumId w:val="13"/>
  </w:num>
  <w:num w:numId="9">
    <w:abstractNumId w:val="0"/>
  </w:num>
  <w:num w:numId="10">
    <w:abstractNumId w:val="7"/>
  </w:num>
  <w:num w:numId="11">
    <w:abstractNumId w:val="11"/>
  </w:num>
  <w:num w:numId="12">
    <w:abstractNumId w:val="2"/>
  </w:num>
  <w:num w:numId="13">
    <w:abstractNumId w:val="5"/>
  </w:num>
  <w:num w:numId="14">
    <w:abstractNumId w:val="14"/>
  </w:num>
  <w:num w:numId="15">
    <w:abstractNumId w:val="6"/>
  </w:num>
  <w:num w:numId="16">
    <w:abstractNumId w:val="17"/>
  </w:num>
  <w:num w:numId="17">
    <w:abstractNumId w:val="1"/>
  </w:num>
  <w:num w:numId="18">
    <w:abstractNumId w:val="12"/>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6817"/>
    <w:rsid w:val="00015879"/>
    <w:rsid w:val="000313CE"/>
    <w:rsid w:val="0004590F"/>
    <w:rsid w:val="0007534F"/>
    <w:rsid w:val="00093BCA"/>
    <w:rsid w:val="000A3484"/>
    <w:rsid w:val="000D28DF"/>
    <w:rsid w:val="000E14EC"/>
    <w:rsid w:val="001153CA"/>
    <w:rsid w:val="001177E2"/>
    <w:rsid w:val="0012147D"/>
    <w:rsid w:val="001239C2"/>
    <w:rsid w:val="0012743A"/>
    <w:rsid w:val="00137962"/>
    <w:rsid w:val="00162F1E"/>
    <w:rsid w:val="0016400E"/>
    <w:rsid w:val="00181857"/>
    <w:rsid w:val="00183A2D"/>
    <w:rsid w:val="00193EEB"/>
    <w:rsid w:val="001E1242"/>
    <w:rsid w:val="001E53C6"/>
    <w:rsid w:val="001F2D8E"/>
    <w:rsid w:val="0022255C"/>
    <w:rsid w:val="00243DDF"/>
    <w:rsid w:val="00247F26"/>
    <w:rsid w:val="0027499A"/>
    <w:rsid w:val="00274DF3"/>
    <w:rsid w:val="00292760"/>
    <w:rsid w:val="0033263C"/>
    <w:rsid w:val="00345391"/>
    <w:rsid w:val="00354E59"/>
    <w:rsid w:val="00380388"/>
    <w:rsid w:val="003A1855"/>
    <w:rsid w:val="003A49D1"/>
    <w:rsid w:val="003A4C84"/>
    <w:rsid w:val="003E7476"/>
    <w:rsid w:val="00405282"/>
    <w:rsid w:val="00407F1B"/>
    <w:rsid w:val="004130CC"/>
    <w:rsid w:val="00415DE4"/>
    <w:rsid w:val="00431D07"/>
    <w:rsid w:val="00432451"/>
    <w:rsid w:val="00446670"/>
    <w:rsid w:val="0047093A"/>
    <w:rsid w:val="00473F16"/>
    <w:rsid w:val="004A6D53"/>
    <w:rsid w:val="004B57B0"/>
    <w:rsid w:val="004B64D6"/>
    <w:rsid w:val="004C2641"/>
    <w:rsid w:val="004C7F66"/>
    <w:rsid w:val="004D1511"/>
    <w:rsid w:val="004F238E"/>
    <w:rsid w:val="005079E5"/>
    <w:rsid w:val="0051302C"/>
    <w:rsid w:val="00534D98"/>
    <w:rsid w:val="00545811"/>
    <w:rsid w:val="00552739"/>
    <w:rsid w:val="00561CBD"/>
    <w:rsid w:val="00592DDF"/>
    <w:rsid w:val="005B1A27"/>
    <w:rsid w:val="005C0487"/>
    <w:rsid w:val="005C6E24"/>
    <w:rsid w:val="005D4CD7"/>
    <w:rsid w:val="005D7B5E"/>
    <w:rsid w:val="00622CF5"/>
    <w:rsid w:val="0064188B"/>
    <w:rsid w:val="00644411"/>
    <w:rsid w:val="00650EB1"/>
    <w:rsid w:val="00653D20"/>
    <w:rsid w:val="006554AD"/>
    <w:rsid w:val="00670300"/>
    <w:rsid w:val="0068162C"/>
    <w:rsid w:val="00687CC6"/>
    <w:rsid w:val="006B745D"/>
    <w:rsid w:val="006E4E43"/>
    <w:rsid w:val="006E7E11"/>
    <w:rsid w:val="006F3CEC"/>
    <w:rsid w:val="006F54F1"/>
    <w:rsid w:val="00727BB7"/>
    <w:rsid w:val="00732B77"/>
    <w:rsid w:val="007659B0"/>
    <w:rsid w:val="00773BA2"/>
    <w:rsid w:val="00784141"/>
    <w:rsid w:val="00806819"/>
    <w:rsid w:val="00814599"/>
    <w:rsid w:val="00820A4C"/>
    <w:rsid w:val="008211B5"/>
    <w:rsid w:val="00821BAD"/>
    <w:rsid w:val="00853CCD"/>
    <w:rsid w:val="00875E7E"/>
    <w:rsid w:val="00881C62"/>
    <w:rsid w:val="008A79AB"/>
    <w:rsid w:val="008B2086"/>
    <w:rsid w:val="00904428"/>
    <w:rsid w:val="00905245"/>
    <w:rsid w:val="0090676B"/>
    <w:rsid w:val="009141EF"/>
    <w:rsid w:val="0091617F"/>
    <w:rsid w:val="00922AA6"/>
    <w:rsid w:val="0092767C"/>
    <w:rsid w:val="009460D8"/>
    <w:rsid w:val="00954764"/>
    <w:rsid w:val="00986EB5"/>
    <w:rsid w:val="009937E6"/>
    <w:rsid w:val="00996817"/>
    <w:rsid w:val="009B2C64"/>
    <w:rsid w:val="009B748E"/>
    <w:rsid w:val="009C549B"/>
    <w:rsid w:val="009D5A4C"/>
    <w:rsid w:val="009E6A4C"/>
    <w:rsid w:val="00A21BD0"/>
    <w:rsid w:val="00A61B7F"/>
    <w:rsid w:val="00AB2B45"/>
    <w:rsid w:val="00AC2F50"/>
    <w:rsid w:val="00B011D4"/>
    <w:rsid w:val="00B124FF"/>
    <w:rsid w:val="00B3396D"/>
    <w:rsid w:val="00B35742"/>
    <w:rsid w:val="00B61382"/>
    <w:rsid w:val="00B61607"/>
    <w:rsid w:val="00B61E35"/>
    <w:rsid w:val="00B93D02"/>
    <w:rsid w:val="00BB4B3A"/>
    <w:rsid w:val="00BB6BBB"/>
    <w:rsid w:val="00BB7ECD"/>
    <w:rsid w:val="00BC782F"/>
    <w:rsid w:val="00BD5453"/>
    <w:rsid w:val="00BD59FD"/>
    <w:rsid w:val="00BD6208"/>
    <w:rsid w:val="00BE0DFE"/>
    <w:rsid w:val="00BE19EF"/>
    <w:rsid w:val="00C154EF"/>
    <w:rsid w:val="00C20195"/>
    <w:rsid w:val="00C372ED"/>
    <w:rsid w:val="00C41220"/>
    <w:rsid w:val="00C525B4"/>
    <w:rsid w:val="00C90365"/>
    <w:rsid w:val="00CA3E4E"/>
    <w:rsid w:val="00CA6CAA"/>
    <w:rsid w:val="00CD32DB"/>
    <w:rsid w:val="00D31541"/>
    <w:rsid w:val="00D324C0"/>
    <w:rsid w:val="00D50168"/>
    <w:rsid w:val="00D642DC"/>
    <w:rsid w:val="00D713F2"/>
    <w:rsid w:val="00D80F83"/>
    <w:rsid w:val="00D9279B"/>
    <w:rsid w:val="00DB7177"/>
    <w:rsid w:val="00DE5503"/>
    <w:rsid w:val="00DE6E74"/>
    <w:rsid w:val="00E12DC9"/>
    <w:rsid w:val="00E20B45"/>
    <w:rsid w:val="00E23BB0"/>
    <w:rsid w:val="00E76B85"/>
    <w:rsid w:val="00E77DB2"/>
    <w:rsid w:val="00E952D6"/>
    <w:rsid w:val="00EA3261"/>
    <w:rsid w:val="00EC58D4"/>
    <w:rsid w:val="00EC7086"/>
    <w:rsid w:val="00ED08E9"/>
    <w:rsid w:val="00ED45B5"/>
    <w:rsid w:val="00ED53BB"/>
    <w:rsid w:val="00EF1CC4"/>
    <w:rsid w:val="00F03C1A"/>
    <w:rsid w:val="00F075A2"/>
    <w:rsid w:val="00F22954"/>
    <w:rsid w:val="00F24FA3"/>
    <w:rsid w:val="00F257AE"/>
    <w:rsid w:val="00F25934"/>
    <w:rsid w:val="00F84EA7"/>
    <w:rsid w:val="00FA27F0"/>
    <w:rsid w:val="00FB0398"/>
    <w:rsid w:val="00FC6EBE"/>
    <w:rsid w:val="00FD0615"/>
    <w:rsid w:val="00FE18FB"/>
    <w:rsid w:val="00FE4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817"/>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link w:val="20"/>
    <w:uiPriority w:val="9"/>
    <w:qFormat/>
    <w:rsid w:val="00B011D4"/>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817"/>
    <w:pPr>
      <w:ind w:left="708"/>
    </w:pPr>
  </w:style>
  <w:style w:type="character" w:styleId="a4">
    <w:name w:val="Hyperlink"/>
    <w:basedOn w:val="a0"/>
    <w:uiPriority w:val="99"/>
    <w:unhideWhenUsed/>
    <w:rsid w:val="0004590F"/>
    <w:rPr>
      <w:color w:val="0000FF" w:themeColor="hyperlink"/>
      <w:u w:val="single"/>
    </w:rPr>
  </w:style>
  <w:style w:type="table" w:styleId="a5">
    <w:name w:val="Table Grid"/>
    <w:basedOn w:val="a1"/>
    <w:uiPriority w:val="59"/>
    <w:rsid w:val="00405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E952D6"/>
    <w:rPr>
      <w:b/>
      <w:bCs/>
    </w:rPr>
  </w:style>
  <w:style w:type="character" w:customStyle="1" w:styleId="rvts15">
    <w:name w:val="rvts15"/>
    <w:basedOn w:val="a0"/>
    <w:rsid w:val="004B64D6"/>
  </w:style>
  <w:style w:type="character" w:customStyle="1" w:styleId="20">
    <w:name w:val="Заголовок 2 Знак"/>
    <w:basedOn w:val="a0"/>
    <w:link w:val="2"/>
    <w:uiPriority w:val="9"/>
    <w:rsid w:val="00B011D4"/>
    <w:rPr>
      <w:rFonts w:ascii="Times New Roman" w:eastAsia="Times New Roman" w:hAnsi="Times New Roman" w:cs="Times New Roman"/>
      <w:b/>
      <w:bCs/>
      <w:sz w:val="36"/>
      <w:szCs w:val="36"/>
      <w:lang w:eastAsia="ru-RU"/>
    </w:rPr>
  </w:style>
  <w:style w:type="paragraph" w:styleId="a7">
    <w:name w:val="No Spacing"/>
    <w:link w:val="a8"/>
    <w:qFormat/>
    <w:rsid w:val="006554AD"/>
    <w:pPr>
      <w:spacing w:after="0" w:line="240" w:lineRule="auto"/>
    </w:pPr>
    <w:rPr>
      <w:rFonts w:ascii="Calibri" w:eastAsia="Calibri" w:hAnsi="Calibri" w:cs="Times New Roman"/>
      <w:lang w:val="uk-UA"/>
    </w:rPr>
  </w:style>
  <w:style w:type="character" w:customStyle="1" w:styleId="a8">
    <w:name w:val="Без интервала Знак"/>
    <w:link w:val="a7"/>
    <w:locked/>
    <w:rsid w:val="006554AD"/>
    <w:rPr>
      <w:rFonts w:ascii="Calibri" w:eastAsia="Calibri" w:hAnsi="Calibri" w:cs="Times New Roman"/>
      <w:lang w:val="uk-UA"/>
    </w:rPr>
  </w:style>
  <w:style w:type="paragraph" w:customStyle="1" w:styleId="Default">
    <w:name w:val="Default"/>
    <w:rsid w:val="006554A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
    <w:uiPriority w:val="99"/>
    <w:unhideWhenUsed/>
    <w:rsid w:val="005079E5"/>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9189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2131</Words>
  <Characters>12147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2</cp:revision>
  <dcterms:created xsi:type="dcterms:W3CDTF">2023-08-18T11:25:00Z</dcterms:created>
  <dcterms:modified xsi:type="dcterms:W3CDTF">2023-08-18T11:25:00Z</dcterms:modified>
</cp:coreProperties>
</file>