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7376DF" w:rsidRPr="007376DF">
        <w:rPr>
          <w:b/>
        </w:rPr>
        <w:t>15220000-6</w:t>
      </w:r>
      <w:r w:rsidR="007376DF" w:rsidRPr="007376DF">
        <w:rPr>
          <w:b/>
          <w:i/>
        </w:rPr>
        <w:t xml:space="preserve"> </w:t>
      </w:r>
      <w:r w:rsidR="007376DF" w:rsidRPr="007376DF">
        <w:rPr>
          <w:b/>
        </w:rPr>
        <w:t>Риба, рибне філе та інше м’ясо риби морожені</w:t>
      </w:r>
      <w:r w:rsidR="007376DF" w:rsidRPr="0091550E">
        <w:rPr>
          <w:rFonts w:eastAsia="Calibri"/>
          <w:b/>
          <w:lang w:eastAsia="ru-RU"/>
        </w:rPr>
        <w:t xml:space="preserve"> </w:t>
      </w:r>
      <w:r w:rsidR="0091550E" w:rsidRPr="0091550E">
        <w:rPr>
          <w:rFonts w:eastAsia="Calibri"/>
          <w:b/>
          <w:lang w:eastAsia="ru-RU"/>
        </w:rPr>
        <w:t>(</w:t>
      </w:r>
      <w:r w:rsidR="00244D8D">
        <w:rPr>
          <w:b/>
          <w:bCs/>
        </w:rPr>
        <w:t>риба свіжоморожена</w:t>
      </w:r>
      <w:r w:rsidR="007376DF" w:rsidRPr="007376DF">
        <w:rPr>
          <w:b/>
          <w:bCs/>
        </w:rPr>
        <w:t xml:space="preserve"> (ХЕК)</w:t>
      </w:r>
      <w:r w:rsidR="007376DF" w:rsidRPr="007376DF">
        <w:rPr>
          <w:bCs/>
          <w:i/>
        </w:rPr>
        <w:t xml:space="preserve"> </w:t>
      </w:r>
      <w:r w:rsidR="001E56F9">
        <w:rPr>
          <w:bCs/>
          <w:i/>
        </w:rPr>
        <w:t xml:space="preserve"> </w:t>
      </w:r>
      <w:r w:rsidR="001E56F9">
        <w:rPr>
          <w:bCs/>
        </w:rPr>
        <w:t xml:space="preserve"> </w:t>
      </w:r>
      <w:r w:rsidR="0091550E" w:rsidRPr="0091550E">
        <w:rPr>
          <w:rFonts w:eastAsia="Calibri"/>
          <w:b/>
          <w:lang w:eastAsia="ru-RU"/>
        </w:rPr>
        <w:t>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72F2D" w:rsidRPr="0026638B" w:rsidRDefault="00272F2D" w:rsidP="00272F2D">
      <w:pPr>
        <w:tabs>
          <w:tab w:val="left" w:pos="540"/>
        </w:tabs>
        <w:ind w:firstLine="540"/>
        <w:jc w:val="both"/>
      </w:pPr>
      <w:r w:rsidRPr="00187A8D">
        <w:rPr>
          <w:b/>
        </w:rPr>
        <w:t xml:space="preserve">Предмет закупівлі: </w:t>
      </w:r>
      <w:r w:rsidR="009C4B24" w:rsidRPr="0048078E">
        <w:t xml:space="preserve">Код згідно </w:t>
      </w:r>
      <w:proofErr w:type="spellStart"/>
      <w:r w:rsidR="009C4B24" w:rsidRPr="0048078E">
        <w:t>ДК</w:t>
      </w:r>
      <w:proofErr w:type="spellEnd"/>
      <w:r w:rsidR="009C4B24" w:rsidRPr="0048078E">
        <w:t xml:space="preserve"> 021:2015 «Єдиний закупівельний словник» –               </w:t>
      </w:r>
      <w:r w:rsidR="007376DF">
        <w:t>15220000-6</w:t>
      </w:r>
      <w:r w:rsidR="007376DF">
        <w:rPr>
          <w:i/>
        </w:rPr>
        <w:t xml:space="preserve"> </w:t>
      </w:r>
      <w:r w:rsidR="007376DF" w:rsidRPr="007376DF">
        <w:t>Риба, рибне філе та інше м’ясо риби морожені</w:t>
      </w:r>
      <w:r w:rsidR="007376DF" w:rsidRPr="00E211CE">
        <w:rPr>
          <w:rFonts w:eastAsia="Calibri"/>
          <w:lang w:eastAsia="ru-RU"/>
        </w:rPr>
        <w:t xml:space="preserve"> </w:t>
      </w:r>
      <w:r w:rsidR="00E211CE" w:rsidRPr="00E211CE">
        <w:rPr>
          <w:rFonts w:eastAsia="Calibri"/>
          <w:lang w:eastAsia="ru-RU"/>
        </w:rPr>
        <w:t>(</w:t>
      </w:r>
      <w:r w:rsidR="00244D8D">
        <w:rPr>
          <w:bCs/>
          <w:i/>
        </w:rPr>
        <w:t>риба свіжоморожена</w:t>
      </w:r>
      <w:r w:rsidR="007376DF" w:rsidRPr="007376DF">
        <w:rPr>
          <w:bCs/>
          <w:i/>
        </w:rPr>
        <w:t xml:space="preserve"> (ХЕК) </w:t>
      </w:r>
      <w:r w:rsidR="00E211CE" w:rsidRPr="00EC617A">
        <w:rPr>
          <w:rFonts w:eastAsia="Calibri"/>
          <w:i/>
          <w:lang w:eastAsia="ru-RU"/>
        </w:rPr>
        <w:t>для</w:t>
      </w:r>
      <w:r w:rsidR="00E211CE" w:rsidRPr="00EC617A">
        <w:rPr>
          <w:bCs/>
          <w:i/>
        </w:rPr>
        <w:t xml:space="preserve"> закладів дошкільної освіти</w:t>
      </w:r>
      <w:r w:rsidR="00E211CE" w:rsidRPr="00E211CE">
        <w:rPr>
          <w:bCs/>
        </w:rPr>
        <w:t>).</w:t>
      </w:r>
    </w:p>
    <w:p w:rsidR="00272F2D" w:rsidRPr="00187A8D" w:rsidRDefault="00272F2D" w:rsidP="00272F2D">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272F2D" w:rsidRPr="00187A8D" w:rsidRDefault="00272F2D" w:rsidP="00272F2D">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213D65" w:rsidRPr="00187A8D" w:rsidRDefault="00213D65" w:rsidP="00213D65">
      <w:pPr>
        <w:tabs>
          <w:tab w:val="left" w:pos="540"/>
        </w:tabs>
        <w:ind w:firstLine="540"/>
        <w:jc w:val="both"/>
        <w:rPr>
          <w:b/>
        </w:rPr>
      </w:pPr>
      <w:r w:rsidRPr="00187A8D">
        <w:rPr>
          <w:b/>
        </w:rPr>
        <w:t>Обґрунтування технічних та якісних характеристик предмета закупівлі:</w:t>
      </w:r>
    </w:p>
    <w:p w:rsidR="00213D65" w:rsidRDefault="00213D65" w:rsidP="00213D65">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213D65" w:rsidRDefault="00213D65" w:rsidP="00213D65">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rsidR="007807F2">
        <w:t xml:space="preserve">з червня </w:t>
      </w:r>
      <w:r>
        <w:t xml:space="preserve">до 31 грудня 2023 року </w:t>
      </w:r>
      <w:r w:rsidRPr="00187A8D">
        <w:t xml:space="preserve"> з урахуванням </w:t>
      </w:r>
      <w:r>
        <w:rPr>
          <w:iCs/>
        </w:rPr>
        <w:t xml:space="preserve">норм харчування  </w:t>
      </w:r>
      <w:r w:rsidR="007807F2">
        <w:rPr>
          <w:iCs/>
        </w:rPr>
        <w:t xml:space="preserve">за віковими категоріями </w:t>
      </w:r>
      <w:r>
        <w:rPr>
          <w:iCs/>
        </w:rPr>
        <w:t>в</w:t>
      </w:r>
      <w:r w:rsidR="007807F2">
        <w:rPr>
          <w:iCs/>
        </w:rPr>
        <w:t xml:space="preserve"> дошкільних </w:t>
      </w:r>
      <w:r>
        <w:rPr>
          <w:iCs/>
        </w:rPr>
        <w:t xml:space="preserve"> закладах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rsidR="001D4E76">
        <w:t xml:space="preserve">, </w:t>
      </w:r>
      <w:r w:rsidR="00B07C7E">
        <w:rPr>
          <w:color w:val="000000"/>
        </w:rPr>
        <w:t xml:space="preserve">Постанова КМУ від 24.03.2021р. №305 </w:t>
      </w:r>
      <w:r w:rsidR="00B07C7E" w:rsidRPr="00E045B3">
        <w:rPr>
          <w:b/>
          <w:color w:val="000000"/>
        </w:rPr>
        <w:t>«</w:t>
      </w:r>
      <w:r w:rsidR="00B07C7E"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sidR="00B07C7E">
        <w:rPr>
          <w:rStyle w:val="a8"/>
          <w:b w:val="0"/>
        </w:rPr>
        <w:t xml:space="preserve">», </w:t>
      </w:r>
      <w:r w:rsidR="001D4E76" w:rsidRPr="006E4E43">
        <w:rPr>
          <w:color w:val="000000"/>
        </w:rPr>
        <w:t>спільних наказів МОН України та МОЗ України від 17.04.2006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298/227 «Про затвердження Інструкції з організації харчування дітей у дошкільних закладах», від 15.08.2006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242/329 «Про затвердження Порядку організації харчування дітей у н</w:t>
      </w:r>
      <w:r w:rsidR="001D4E76">
        <w:rPr>
          <w:color w:val="000000"/>
        </w:rPr>
        <w:t>авчальних та оздоровчих закладах»</w:t>
      </w:r>
      <w:r w:rsidR="001D4E76" w:rsidRPr="006E4E43">
        <w:rPr>
          <w:color w:val="000000"/>
        </w:rPr>
        <w:t>.</w:t>
      </w:r>
      <w:r w:rsidRPr="00291E56">
        <w:t xml:space="preserve"> </w:t>
      </w:r>
    </w:p>
    <w:p w:rsidR="00213D65" w:rsidRPr="00ED3DDC" w:rsidRDefault="00213D65" w:rsidP="00213D65">
      <w:pPr>
        <w:ind w:firstLine="540"/>
      </w:pPr>
      <w:r w:rsidRPr="00ED3DDC">
        <w:rPr>
          <w:b/>
          <w:bCs/>
        </w:rPr>
        <w:t>Обґрунтування доцільності закупівлі</w:t>
      </w:r>
      <w:r w:rsidRPr="00ED3DDC">
        <w:t>.</w:t>
      </w:r>
    </w:p>
    <w:p w:rsidR="00213D65" w:rsidRDefault="00213D65" w:rsidP="00213D65">
      <w:pPr>
        <w:tabs>
          <w:tab w:val="left" w:pos="540"/>
        </w:tabs>
        <w:ind w:firstLine="540"/>
        <w:jc w:val="both"/>
      </w:pPr>
      <w:r w:rsidRPr="0048078E">
        <w:t xml:space="preserve">Придбання </w:t>
      </w:r>
      <w:r w:rsidR="007376DF" w:rsidRPr="007376DF">
        <w:rPr>
          <w:bCs/>
          <w:i/>
        </w:rPr>
        <w:t xml:space="preserve">риби свіжомороженої (ХЕК) </w:t>
      </w:r>
      <w:r w:rsidR="009B1A7B">
        <w:rPr>
          <w:bCs/>
        </w:rPr>
        <w:t xml:space="preserve"> </w:t>
      </w:r>
      <w:r w:rsidRPr="0048078E">
        <w:t>необхідне для забезпечення</w:t>
      </w:r>
      <w:r>
        <w:t xml:space="preserve"> навчального процесу у </w:t>
      </w:r>
      <w:r w:rsidR="00C72BE6">
        <w:t xml:space="preserve">закладах дошкільної освіти </w:t>
      </w:r>
      <w:proofErr w:type="spellStart"/>
      <w:r>
        <w:t>Попельнастівської</w:t>
      </w:r>
      <w:proofErr w:type="spellEnd"/>
      <w:r>
        <w:t xml:space="preserve"> сільської ради Олександрійського району Кіровоградської області </w:t>
      </w:r>
      <w:r w:rsidR="007807F2">
        <w:t xml:space="preserve">з червня </w:t>
      </w:r>
      <w:r>
        <w:t>до 31 грудня 2023 року.</w:t>
      </w:r>
    </w:p>
    <w:p w:rsidR="00213D65" w:rsidRPr="00ED3DDC" w:rsidRDefault="00213D65" w:rsidP="00213D65">
      <w:pPr>
        <w:ind w:firstLine="540"/>
      </w:pPr>
      <w:r w:rsidRPr="00ED3DDC">
        <w:rPr>
          <w:b/>
          <w:bCs/>
        </w:rPr>
        <w:t>Обґрунтування обсягів закупівлі</w:t>
      </w:r>
      <w:r w:rsidRPr="00ED3DDC">
        <w:t>.</w:t>
      </w:r>
    </w:p>
    <w:p w:rsidR="00213D65" w:rsidRPr="00ED3DDC" w:rsidRDefault="00213D65" w:rsidP="00213D65">
      <w:pPr>
        <w:ind w:firstLine="720"/>
        <w:jc w:val="both"/>
      </w:pPr>
      <w:r w:rsidRPr="00ED3DDC">
        <w:t xml:space="preserve">Відповідно проведеного аналізу витрат </w:t>
      </w:r>
      <w:r>
        <w:t xml:space="preserve">на придбання </w:t>
      </w:r>
      <w:r w:rsidR="007376DF" w:rsidRPr="007376DF">
        <w:rPr>
          <w:bCs/>
          <w:i/>
        </w:rPr>
        <w:t xml:space="preserve">риби свіжомороженої (ХЕК) </w:t>
      </w:r>
      <w:r w:rsidR="007807F2">
        <w:t xml:space="preserve">та </w:t>
      </w:r>
      <w:r>
        <w:t>згідно норм</w:t>
      </w:r>
      <w:r w:rsidR="007807F2">
        <w:t xml:space="preserve"> харчування і</w:t>
      </w:r>
      <w:r>
        <w:t xml:space="preserve"> затвердженого меню</w:t>
      </w:r>
      <w:r w:rsidR="007807F2">
        <w:t xml:space="preserve"> в дошкільних закладах</w:t>
      </w:r>
      <w:r w:rsidR="00703ECE">
        <w:t xml:space="preserve">, потреба в 2023 році складає:  </w:t>
      </w:r>
      <w:r w:rsidR="0018396B">
        <w:t>1003,200</w:t>
      </w:r>
      <w:r>
        <w:t xml:space="preserve"> кг.</w:t>
      </w:r>
    </w:p>
    <w:p w:rsidR="00213D65" w:rsidRDefault="00213D65" w:rsidP="00213D65">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213D65" w:rsidRPr="00ED3DDC" w:rsidRDefault="00213D65" w:rsidP="00213D65">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13D65" w:rsidRPr="00ED3DDC" w:rsidRDefault="00213D65" w:rsidP="00213D65">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671F1D" w:rsidRPr="0048078E" w:rsidRDefault="00671F1D" w:rsidP="00671F1D">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7376DF" w:rsidRPr="007376DF">
        <w:rPr>
          <w:bCs/>
          <w:i/>
        </w:rPr>
        <w:t xml:space="preserve">риби свіжомороженої (ХЕК) </w:t>
      </w:r>
      <w:r>
        <w:t xml:space="preserve">для </w:t>
      </w:r>
      <w:r w:rsidR="00C72BE6">
        <w:t xml:space="preserve">закладів </w:t>
      </w:r>
      <w:r>
        <w:t>дошкі</w:t>
      </w:r>
      <w:r w:rsidR="00C72BE6">
        <w:t>льної освіти</w:t>
      </w:r>
      <w:r>
        <w:t xml:space="preserve"> </w:t>
      </w:r>
      <w:r w:rsidR="007807F2">
        <w:t>з червня</w:t>
      </w:r>
      <w:r w:rsidRPr="0048078E">
        <w:t xml:space="preserve"> </w:t>
      </w:r>
      <w:r>
        <w:t xml:space="preserve">до 31 грудня </w:t>
      </w:r>
      <w:r w:rsidRPr="0048078E">
        <w:t>2023</w:t>
      </w:r>
      <w:r>
        <w:t xml:space="preserve"> року, яка</w:t>
      </w:r>
      <w:r w:rsidRPr="0048078E">
        <w:t xml:space="preserve"> складає: </w:t>
      </w:r>
      <w:r w:rsidR="0018396B">
        <w:t>1003,200</w:t>
      </w:r>
      <w:r>
        <w:t xml:space="preserve"> кг. </w:t>
      </w:r>
    </w:p>
    <w:p w:rsidR="00671F1D" w:rsidRDefault="00671F1D" w:rsidP="00671F1D">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671F1D" w:rsidRPr="00F04A20" w:rsidRDefault="00671F1D" w:rsidP="00671F1D">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18396B" w:rsidRDefault="00671F1D" w:rsidP="007807F2">
      <w:pPr>
        <w:jc w:val="both"/>
      </w:pPr>
      <w:r w:rsidRPr="00F04A20">
        <w:lastRenderedPageBreak/>
        <w:t xml:space="preserve">Розмір бюджетного призначення визначений відповідно до розрахунку до плану використання бюджетних коштів </w:t>
      </w:r>
      <w:r w:rsidR="007807F2">
        <w:t xml:space="preserve">з червня </w:t>
      </w:r>
      <w:r>
        <w:t>до 31 грудня 2023 року та</w:t>
      </w:r>
      <w:r w:rsidRPr="00F04A20">
        <w:t xml:space="preserve"> становить </w:t>
      </w:r>
      <w:r w:rsidR="0018396B">
        <w:t>1465</w:t>
      </w:r>
      <w:r>
        <w:t>00,00</w:t>
      </w:r>
      <w:r w:rsidRPr="00F04A20">
        <w:t xml:space="preserve"> грн.</w:t>
      </w:r>
      <w:r>
        <w:t xml:space="preserve"> </w:t>
      </w:r>
      <w:r w:rsidR="00272F2D" w:rsidRPr="00F74B3B">
        <w:t xml:space="preserve">   </w:t>
      </w:r>
    </w:p>
    <w:p w:rsidR="0018396B" w:rsidRDefault="0018396B" w:rsidP="007807F2">
      <w:pPr>
        <w:jc w:val="both"/>
      </w:pPr>
    </w:p>
    <w:p w:rsidR="0018396B" w:rsidRDefault="0018396B" w:rsidP="0018396B">
      <w:pPr>
        <w:ind w:left="-900" w:right="-365"/>
        <w:jc w:val="center"/>
      </w:pPr>
    </w:p>
    <w:p w:rsidR="0018396B" w:rsidRDefault="00272F2D" w:rsidP="0018396B">
      <w:pPr>
        <w:ind w:left="-900" w:right="-365"/>
        <w:jc w:val="center"/>
        <w:rPr>
          <w:b/>
          <w:bCs/>
          <w:kern w:val="2"/>
          <w:lang w:eastAsia="ru-RU"/>
        </w:rPr>
      </w:pPr>
      <w:r w:rsidRPr="00F74B3B">
        <w:t xml:space="preserve"> </w:t>
      </w:r>
      <w:r w:rsidR="0018396B">
        <w:rPr>
          <w:b/>
          <w:bCs/>
          <w:kern w:val="2"/>
          <w:lang w:eastAsia="ru-RU"/>
        </w:rPr>
        <w:t>ТЕХНІЧНА СПЕЦІФІКАЦІЯ</w:t>
      </w:r>
    </w:p>
    <w:p w:rsidR="0018396B" w:rsidRDefault="0018396B" w:rsidP="0018396B">
      <w:pPr>
        <w:ind w:left="-900" w:right="-365"/>
        <w:jc w:val="center"/>
        <w:rPr>
          <w:b/>
          <w:bCs/>
          <w:kern w:val="2"/>
          <w:lang w:eastAsia="ru-RU"/>
        </w:rPr>
      </w:pPr>
      <w:r>
        <w:rPr>
          <w:b/>
          <w:bCs/>
          <w:kern w:val="2"/>
          <w:lang w:eastAsia="ru-RU"/>
        </w:rPr>
        <w:t>щодо технічних,  якісних та кількісних характеристик предмета закупівлі</w:t>
      </w:r>
    </w:p>
    <w:p w:rsidR="0018396B" w:rsidRDefault="0018396B" w:rsidP="0018396B">
      <w:pPr>
        <w:ind w:left="-900" w:right="-365"/>
        <w:jc w:val="center"/>
        <w:rPr>
          <w:bCs/>
          <w:kern w:val="2"/>
          <w:lang w:eastAsia="ru-RU"/>
        </w:rPr>
      </w:pPr>
    </w:p>
    <w:p w:rsidR="0018396B" w:rsidRDefault="0018396B" w:rsidP="0018396B">
      <w:pPr>
        <w:spacing w:before="20" w:after="40"/>
        <w:jc w:val="both"/>
        <w:rPr>
          <w:bCs/>
          <w:kern w:val="2"/>
        </w:rPr>
      </w:pPr>
      <w:r>
        <w:rPr>
          <w:bCs/>
          <w:kern w:val="2"/>
        </w:rPr>
        <w:t xml:space="preserve">1. Найменування предмета закупівлі – </w:t>
      </w:r>
      <w:proofErr w:type="spellStart"/>
      <w:r>
        <w:rPr>
          <w:rFonts w:eastAsiaTheme="minorHAnsi"/>
          <w:b/>
          <w:lang w:eastAsia="en-US"/>
        </w:rPr>
        <w:t>ДК</w:t>
      </w:r>
      <w:proofErr w:type="spellEnd"/>
      <w:r>
        <w:rPr>
          <w:rFonts w:eastAsiaTheme="minorHAnsi"/>
          <w:b/>
          <w:lang w:eastAsia="en-US"/>
        </w:rPr>
        <w:t xml:space="preserve"> 021:2015 - </w:t>
      </w:r>
      <w:r>
        <w:rPr>
          <w:rFonts w:eastAsia="Calibri"/>
          <w:b/>
          <w:lang w:eastAsia="ru-RU"/>
        </w:rPr>
        <w:t xml:space="preserve">15220000-6 </w:t>
      </w:r>
      <w:r>
        <w:rPr>
          <w:rFonts w:eastAsiaTheme="minorHAnsi"/>
          <w:b/>
          <w:lang w:eastAsia="en-US"/>
        </w:rPr>
        <w:t xml:space="preserve">– </w:t>
      </w:r>
      <w:r>
        <w:rPr>
          <w:b/>
        </w:rPr>
        <w:t>Риба, рибне філе та інше м'ясо заморожені</w:t>
      </w:r>
      <w:r>
        <w:rPr>
          <w:rFonts w:eastAsia="Calibri"/>
          <w:b/>
          <w:lang w:eastAsia="ru-RU"/>
        </w:rPr>
        <w:t xml:space="preserve"> (риба свіжоморожена (ХЕК) для</w:t>
      </w:r>
      <w:r>
        <w:rPr>
          <w:b/>
          <w:bCs/>
        </w:rPr>
        <w:t xml:space="preserve"> закладів дошкільної освіти)</w:t>
      </w:r>
      <w:r>
        <w:rPr>
          <w:bCs/>
        </w:rPr>
        <w:t xml:space="preserve"> </w:t>
      </w:r>
      <w:r>
        <w:rPr>
          <w:bCs/>
          <w:kern w:val="2"/>
        </w:rPr>
        <w:t xml:space="preserve"> (далі - Товар).</w:t>
      </w:r>
    </w:p>
    <w:p w:rsidR="0018396B" w:rsidRDefault="0018396B" w:rsidP="0018396B">
      <w:pPr>
        <w:jc w:val="both"/>
        <w:rPr>
          <w:bCs/>
          <w:kern w:val="2"/>
        </w:rPr>
      </w:pPr>
      <w:r>
        <w:rPr>
          <w:bCs/>
          <w:kern w:val="2"/>
        </w:rPr>
        <w:t xml:space="preserve">2. Загальний обсяг поставки товару: </w:t>
      </w:r>
      <w:r>
        <w:rPr>
          <w:b/>
          <w:bCs/>
          <w:kern w:val="2"/>
        </w:rPr>
        <w:t>1003,200 кг..</w:t>
      </w:r>
    </w:p>
    <w:p w:rsidR="0018396B" w:rsidRDefault="0018396B" w:rsidP="0018396B">
      <w:pPr>
        <w:jc w:val="both"/>
        <w:rPr>
          <w:b/>
          <w:bCs/>
          <w:kern w:val="2"/>
        </w:rPr>
      </w:pPr>
      <w:r>
        <w:rPr>
          <w:bCs/>
          <w:kern w:val="2"/>
        </w:rPr>
        <w:t xml:space="preserve">3. Строк поставки товару: </w:t>
      </w:r>
      <w:r>
        <w:rPr>
          <w:b/>
          <w:bCs/>
          <w:kern w:val="2"/>
        </w:rPr>
        <w:t>до 31.12.2023 року.</w:t>
      </w:r>
    </w:p>
    <w:p w:rsidR="0018396B" w:rsidRDefault="0018396B" w:rsidP="0018396B">
      <w:pPr>
        <w:jc w:val="both"/>
      </w:pPr>
      <w:r>
        <w:rPr>
          <w:bCs/>
          <w:kern w:val="2"/>
        </w:rPr>
        <w:t xml:space="preserve">4. </w:t>
      </w:r>
      <w:r>
        <w:t xml:space="preserve">Термін поставки: один раз на два тижні (згідно заявок)  в робочі дні  з 06 – 00 до 15-00 год. </w:t>
      </w:r>
    </w:p>
    <w:p w:rsidR="0018396B" w:rsidRDefault="0018396B" w:rsidP="0018396B">
      <w:pPr>
        <w:jc w:val="both"/>
        <w:rPr>
          <w:bCs/>
        </w:rPr>
      </w:pPr>
      <w:r>
        <w:t xml:space="preserve">Товар повинен </w:t>
      </w:r>
      <w:r>
        <w:rPr>
          <w:bCs/>
        </w:rPr>
        <w:t>своєчасно постачатися до кожного окремого закладу дошкільної освіти.</w:t>
      </w:r>
    </w:p>
    <w:p w:rsidR="0018396B" w:rsidRDefault="0018396B" w:rsidP="0018396B">
      <w:pPr>
        <w:jc w:val="both"/>
        <w:textAlignment w:val="baseline"/>
      </w:pPr>
      <w:r>
        <w:t xml:space="preserve">5. </w:t>
      </w:r>
      <w:r>
        <w:rPr>
          <w:rStyle w:val="a8"/>
        </w:rPr>
        <w:t>Умови поставки: предмет закупівлі підлягає доставці Учасником дрібними партіями -  протягом доби згідно заявок Замовника  за адресами закладів дошкільної освіти</w:t>
      </w:r>
      <w:r>
        <w:t xml:space="preserve"> з дотриманням термінів його реалізації.</w:t>
      </w:r>
    </w:p>
    <w:p w:rsidR="0018396B" w:rsidRDefault="0018396B" w:rsidP="0018396B">
      <w:pPr>
        <w:jc w:val="both"/>
        <w:rPr>
          <w:bCs/>
          <w:kern w:val="2"/>
        </w:rPr>
      </w:pPr>
      <w:r>
        <w:rPr>
          <w:bCs/>
          <w:kern w:val="2"/>
        </w:rPr>
        <w:t xml:space="preserve">6. Місце поставки: за адресами закладів </w:t>
      </w:r>
      <w:r>
        <w:rPr>
          <w:bCs/>
          <w:kern w:val="24"/>
        </w:rPr>
        <w:t xml:space="preserve">дошкільної </w:t>
      </w:r>
      <w:r>
        <w:rPr>
          <w:bCs/>
          <w:kern w:val="2"/>
        </w:rPr>
        <w:t xml:space="preserve">освіти </w:t>
      </w:r>
      <w:proofErr w:type="spellStart"/>
      <w:r>
        <w:rPr>
          <w:bCs/>
          <w:kern w:val="2"/>
        </w:rPr>
        <w:t>Попельнастівської</w:t>
      </w:r>
      <w:proofErr w:type="spellEnd"/>
      <w:r>
        <w:rPr>
          <w:bCs/>
          <w:kern w:val="2"/>
        </w:rPr>
        <w:t xml:space="preserve"> сільської ради. (згідно інформації наведеної в Таблиці 1).</w:t>
      </w:r>
    </w:p>
    <w:p w:rsidR="0018396B" w:rsidRDefault="0018396B" w:rsidP="0018396B">
      <w:pPr>
        <w:jc w:val="right"/>
        <w:rPr>
          <w:bCs/>
          <w:i/>
          <w:kern w:val="2"/>
        </w:rPr>
      </w:pPr>
      <w:r>
        <w:rPr>
          <w:bCs/>
          <w:i/>
          <w:kern w:val="2"/>
        </w:rPr>
        <w:t>Таблиця 1</w:t>
      </w:r>
    </w:p>
    <w:tbl>
      <w:tblPr>
        <w:tblStyle w:val="a9"/>
        <w:tblW w:w="0" w:type="auto"/>
        <w:tblInd w:w="0" w:type="dxa"/>
        <w:tblLook w:val="04A0"/>
      </w:tblPr>
      <w:tblGrid>
        <w:gridCol w:w="502"/>
        <w:gridCol w:w="6"/>
        <w:gridCol w:w="3416"/>
        <w:gridCol w:w="5070"/>
        <w:gridCol w:w="1145"/>
      </w:tblGrid>
      <w:tr w:rsidR="0018396B" w:rsidTr="0018396B">
        <w:tc>
          <w:tcPr>
            <w:tcW w:w="502" w:type="dxa"/>
            <w:tcBorders>
              <w:top w:val="single" w:sz="4" w:space="0" w:color="auto"/>
              <w:left w:val="single" w:sz="4" w:space="0" w:color="auto"/>
              <w:bottom w:val="single" w:sz="4" w:space="0" w:color="auto"/>
              <w:right w:val="single" w:sz="4" w:space="0" w:color="auto"/>
            </w:tcBorders>
            <w:hideMark/>
          </w:tcPr>
          <w:p w:rsidR="0018396B" w:rsidRDefault="0018396B">
            <w:pPr>
              <w:rPr>
                <w:b/>
                <w:sz w:val="24"/>
                <w:szCs w:val="24"/>
              </w:rPr>
            </w:pPr>
            <w:r>
              <w:rPr>
                <w:b/>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hideMark/>
          </w:tcPr>
          <w:p w:rsidR="0018396B" w:rsidRDefault="0018396B">
            <w:pPr>
              <w:jc w:val="center"/>
              <w:rPr>
                <w:b/>
                <w:sz w:val="24"/>
                <w:szCs w:val="24"/>
              </w:rPr>
            </w:pPr>
            <w:r>
              <w:rPr>
                <w:b/>
                <w:sz w:val="24"/>
                <w:szCs w:val="24"/>
              </w:rPr>
              <w:t>Назва закладу</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jc w:val="center"/>
              <w:rPr>
                <w:b/>
                <w:sz w:val="24"/>
                <w:szCs w:val="24"/>
              </w:rPr>
            </w:pPr>
            <w:r>
              <w:rPr>
                <w:b/>
                <w:sz w:val="24"/>
                <w:szCs w:val="24"/>
              </w:rPr>
              <w:t>Адреса місцезнаходження:</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jc w:val="center"/>
              <w:rPr>
                <w:b/>
              </w:rPr>
            </w:pPr>
            <w:r>
              <w:rPr>
                <w:b/>
              </w:rPr>
              <w:t>Відстань</w:t>
            </w:r>
          </w:p>
        </w:tc>
      </w:tr>
      <w:tr w:rsidR="0018396B" w:rsidTr="0018396B">
        <w:tc>
          <w:tcPr>
            <w:tcW w:w="10185" w:type="dxa"/>
            <w:gridSpan w:val="5"/>
            <w:tcBorders>
              <w:top w:val="single" w:sz="4" w:space="0" w:color="auto"/>
              <w:left w:val="single" w:sz="4" w:space="0" w:color="auto"/>
              <w:bottom w:val="single" w:sz="4" w:space="0" w:color="auto"/>
              <w:right w:val="single" w:sz="4" w:space="0" w:color="auto"/>
            </w:tcBorders>
            <w:hideMark/>
          </w:tcPr>
          <w:p w:rsidR="0018396B" w:rsidRDefault="0018396B">
            <w:pPr>
              <w:jc w:val="center"/>
              <w:rPr>
                <w:b/>
                <w:sz w:val="24"/>
                <w:szCs w:val="24"/>
              </w:rPr>
            </w:pPr>
            <w:r>
              <w:rPr>
                <w:b/>
                <w:sz w:val="24"/>
                <w:szCs w:val="24"/>
              </w:rPr>
              <w:t>Заклади дошкільної освіти</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1</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proofErr w:type="spellStart"/>
            <w:r>
              <w:rPr>
                <w:sz w:val="24"/>
                <w:szCs w:val="24"/>
              </w:rPr>
              <w:t>Добронадіївський</w:t>
            </w:r>
            <w:proofErr w:type="spellEnd"/>
            <w:r>
              <w:rPr>
                <w:sz w:val="24"/>
                <w:szCs w:val="24"/>
              </w:rPr>
              <w:t xml:space="preserve"> ЗДО</w:t>
            </w:r>
          </w:p>
          <w:p w:rsidR="0018396B" w:rsidRDefault="0018396B">
            <w:pPr>
              <w:rPr>
                <w:sz w:val="24"/>
                <w:szCs w:val="24"/>
              </w:rPr>
            </w:pPr>
            <w:r>
              <w:rPr>
                <w:sz w:val="24"/>
                <w:szCs w:val="24"/>
              </w:rPr>
              <w:t xml:space="preserve"> "Сонечко"</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 xml:space="preserve">вул. Шкільна, 1-А,  с. </w:t>
            </w:r>
            <w:proofErr w:type="spellStart"/>
            <w:r>
              <w:rPr>
                <w:sz w:val="24"/>
                <w:szCs w:val="24"/>
              </w:rPr>
              <w:t>Добронадіївка</w:t>
            </w:r>
            <w:proofErr w:type="spellEnd"/>
            <w:r>
              <w:rPr>
                <w:sz w:val="24"/>
                <w:szCs w:val="24"/>
              </w:rPr>
              <w:t>, Олександрійський район Кіровоградська область, 28054</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34</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r>
              <w:t>2</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proofErr w:type="spellStart"/>
            <w:r>
              <w:rPr>
                <w:sz w:val="24"/>
                <w:szCs w:val="24"/>
              </w:rPr>
              <w:t>Дівочепільський</w:t>
            </w:r>
            <w:proofErr w:type="spellEnd"/>
            <w:r>
              <w:rPr>
                <w:sz w:val="24"/>
                <w:szCs w:val="24"/>
              </w:rPr>
              <w:t xml:space="preserve"> ЗДО</w:t>
            </w:r>
          </w:p>
          <w:p w:rsidR="0018396B" w:rsidRDefault="0018396B">
            <w:pPr>
              <w:rPr>
                <w:sz w:val="24"/>
                <w:szCs w:val="24"/>
              </w:rPr>
            </w:pPr>
            <w:r>
              <w:rPr>
                <w:sz w:val="24"/>
                <w:szCs w:val="24"/>
              </w:rPr>
              <w:t>«Веселка»</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 xml:space="preserve">вул. </w:t>
            </w:r>
            <w:proofErr w:type="spellStart"/>
            <w:r>
              <w:rPr>
                <w:sz w:val="24"/>
                <w:szCs w:val="24"/>
              </w:rPr>
              <w:t>Чкалова</w:t>
            </w:r>
            <w:proofErr w:type="spellEnd"/>
            <w:r>
              <w:rPr>
                <w:sz w:val="24"/>
                <w:szCs w:val="24"/>
              </w:rPr>
              <w:t>, 13, с. Дівоче Поле,</w:t>
            </w:r>
          </w:p>
          <w:p w:rsidR="0018396B" w:rsidRDefault="0018396B">
            <w:pPr>
              <w:rPr>
                <w:sz w:val="24"/>
                <w:szCs w:val="24"/>
              </w:rPr>
            </w:pPr>
            <w:r>
              <w:rPr>
                <w:sz w:val="24"/>
                <w:szCs w:val="24"/>
              </w:rPr>
              <w:t>Олександрійський район Кіровоградська область, 28050</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38</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r>
              <w:t>3</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 xml:space="preserve">вул. Центральна, буд.4, с. </w:t>
            </w:r>
            <w:proofErr w:type="spellStart"/>
            <w:r>
              <w:rPr>
                <w:sz w:val="24"/>
                <w:szCs w:val="24"/>
              </w:rPr>
              <w:t>Куколівка</w:t>
            </w:r>
            <w:proofErr w:type="spellEnd"/>
            <w:r>
              <w:rPr>
                <w:sz w:val="24"/>
                <w:szCs w:val="24"/>
              </w:rPr>
              <w:t>,</w:t>
            </w:r>
          </w:p>
          <w:p w:rsidR="0018396B" w:rsidRDefault="0018396B">
            <w:r>
              <w:rPr>
                <w:sz w:val="24"/>
                <w:szCs w:val="24"/>
              </w:rPr>
              <w:t>Олександрійський район Кіровоградська область, 28052</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r>
              <w:t>17</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4</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 xml:space="preserve">Михайлівський ЗДО </w:t>
            </w:r>
          </w:p>
          <w:p w:rsidR="0018396B" w:rsidRDefault="0018396B">
            <w:pPr>
              <w:rPr>
                <w:sz w:val="24"/>
                <w:szCs w:val="24"/>
              </w:rPr>
            </w:pPr>
            <w:r>
              <w:rPr>
                <w:sz w:val="24"/>
                <w:szCs w:val="24"/>
              </w:rPr>
              <w:t>«Сонечко»</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 xml:space="preserve">вул. Нова, 2-А, с. </w:t>
            </w:r>
            <w:proofErr w:type="spellStart"/>
            <w:r>
              <w:rPr>
                <w:sz w:val="24"/>
                <w:szCs w:val="24"/>
              </w:rPr>
              <w:t>Михайлівка</w:t>
            </w:r>
            <w:proofErr w:type="spellEnd"/>
            <w:r>
              <w:rPr>
                <w:sz w:val="24"/>
                <w:szCs w:val="24"/>
              </w:rPr>
              <w:t>,</w:t>
            </w:r>
          </w:p>
          <w:p w:rsidR="0018396B" w:rsidRDefault="0018396B">
            <w:pPr>
              <w:rPr>
                <w:sz w:val="24"/>
                <w:szCs w:val="24"/>
              </w:rPr>
            </w:pPr>
            <w:r>
              <w:rPr>
                <w:sz w:val="24"/>
                <w:szCs w:val="24"/>
              </w:rPr>
              <w:t>Олександрійський район Кіровоградська область, 280064</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35</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5</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proofErr w:type="spellStart"/>
            <w:r>
              <w:rPr>
                <w:sz w:val="24"/>
                <w:szCs w:val="24"/>
              </w:rPr>
              <w:t>Олександрівський</w:t>
            </w:r>
            <w:proofErr w:type="spellEnd"/>
            <w:r>
              <w:rPr>
                <w:sz w:val="24"/>
                <w:szCs w:val="24"/>
              </w:rPr>
              <w:t xml:space="preserve"> ЗДО </w:t>
            </w:r>
          </w:p>
          <w:p w:rsidR="0018396B" w:rsidRDefault="0018396B">
            <w:pPr>
              <w:rPr>
                <w:sz w:val="24"/>
                <w:szCs w:val="24"/>
              </w:rPr>
            </w:pPr>
            <w:r>
              <w:rPr>
                <w:sz w:val="24"/>
                <w:szCs w:val="24"/>
              </w:rPr>
              <w:t xml:space="preserve"> "Малятко"</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вул. Центральна, 1-Д  с. Олександрівка, Олександрійський район Кіровоградська область, 28051</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28</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6</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proofErr w:type="spellStart"/>
            <w:r>
              <w:rPr>
                <w:sz w:val="24"/>
                <w:szCs w:val="24"/>
              </w:rPr>
              <w:t>Попельнастівський</w:t>
            </w:r>
            <w:proofErr w:type="spellEnd"/>
            <w:r>
              <w:rPr>
                <w:sz w:val="24"/>
                <w:szCs w:val="24"/>
              </w:rPr>
              <w:t xml:space="preserve"> ЗДО</w:t>
            </w:r>
          </w:p>
          <w:p w:rsidR="0018396B" w:rsidRDefault="0018396B">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вул. Соборна, 9-А, с. Попельнасте, Олександрійський район Кіровоградська область, 28062</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64</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7</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proofErr w:type="spellStart"/>
            <w:r>
              <w:rPr>
                <w:sz w:val="24"/>
                <w:szCs w:val="24"/>
              </w:rPr>
              <w:t>Улянівський</w:t>
            </w:r>
            <w:proofErr w:type="spellEnd"/>
            <w:r>
              <w:rPr>
                <w:sz w:val="24"/>
                <w:szCs w:val="24"/>
              </w:rPr>
              <w:t xml:space="preserve"> ЗДО </w:t>
            </w:r>
          </w:p>
          <w:p w:rsidR="0018396B" w:rsidRDefault="0018396B">
            <w:pPr>
              <w:rPr>
                <w:sz w:val="24"/>
                <w:szCs w:val="24"/>
              </w:rPr>
            </w:pPr>
            <w:r>
              <w:rPr>
                <w:sz w:val="24"/>
                <w:szCs w:val="24"/>
              </w:rPr>
              <w:t>"Берізка"</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 xml:space="preserve">вул. Шкільна, 2-Б,  с. </w:t>
            </w:r>
            <w:proofErr w:type="spellStart"/>
            <w:r>
              <w:rPr>
                <w:sz w:val="24"/>
                <w:szCs w:val="24"/>
              </w:rPr>
              <w:t>Улянівка</w:t>
            </w:r>
            <w:proofErr w:type="spellEnd"/>
            <w:r>
              <w:rPr>
                <w:sz w:val="24"/>
                <w:szCs w:val="24"/>
              </w:rPr>
              <w:t>,             Олександрійський район Кіровоградська область, 28065</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40</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8</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proofErr w:type="spellStart"/>
            <w:r>
              <w:rPr>
                <w:sz w:val="24"/>
                <w:szCs w:val="24"/>
              </w:rPr>
              <w:t>Червонокам’янський</w:t>
            </w:r>
            <w:proofErr w:type="spellEnd"/>
            <w:r>
              <w:rPr>
                <w:sz w:val="24"/>
                <w:szCs w:val="24"/>
              </w:rPr>
              <w:t xml:space="preserve"> ЗДО</w:t>
            </w:r>
          </w:p>
          <w:p w:rsidR="0018396B" w:rsidRDefault="0018396B">
            <w:pPr>
              <w:rPr>
                <w:sz w:val="24"/>
                <w:szCs w:val="24"/>
              </w:rPr>
            </w:pPr>
            <w:r>
              <w:rPr>
                <w:sz w:val="24"/>
                <w:szCs w:val="24"/>
              </w:rPr>
              <w:t>«Малятко»</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 xml:space="preserve">вул. </w:t>
            </w:r>
            <w:proofErr w:type="spellStart"/>
            <w:r>
              <w:rPr>
                <w:sz w:val="24"/>
                <w:szCs w:val="24"/>
              </w:rPr>
              <w:t>Романовського</w:t>
            </w:r>
            <w:proofErr w:type="spellEnd"/>
            <w:r>
              <w:rPr>
                <w:sz w:val="24"/>
                <w:szCs w:val="24"/>
              </w:rPr>
              <w:t>, 2, с. Червона Кам'янка, Олександрійський район кіровоградська область, 28063</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35</w:t>
            </w:r>
          </w:p>
        </w:tc>
      </w:tr>
      <w:tr w:rsidR="0018396B" w:rsidTr="0018396B">
        <w:tc>
          <w:tcPr>
            <w:tcW w:w="508" w:type="dxa"/>
            <w:gridSpan w:val="2"/>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9</w:t>
            </w:r>
          </w:p>
        </w:tc>
        <w:tc>
          <w:tcPr>
            <w:tcW w:w="3428" w:type="dxa"/>
            <w:tcBorders>
              <w:top w:val="single" w:sz="4" w:space="0" w:color="auto"/>
              <w:left w:val="single" w:sz="4" w:space="0" w:color="auto"/>
              <w:bottom w:val="single" w:sz="4" w:space="0" w:color="auto"/>
              <w:right w:val="single" w:sz="4" w:space="0" w:color="auto"/>
            </w:tcBorders>
            <w:hideMark/>
          </w:tcPr>
          <w:p w:rsidR="0018396B" w:rsidRDefault="0018396B">
            <w:r>
              <w:rPr>
                <w:sz w:val="24"/>
                <w:szCs w:val="24"/>
              </w:rPr>
              <w:t xml:space="preserve">Підрозділ дошкільної освіти (ЗДО) </w:t>
            </w:r>
            <w:proofErr w:type="spellStart"/>
            <w:r>
              <w:rPr>
                <w:sz w:val="24"/>
                <w:szCs w:val="24"/>
              </w:rPr>
              <w:t>Щасливської</w:t>
            </w:r>
            <w:proofErr w:type="spellEnd"/>
            <w:r>
              <w:rPr>
                <w:sz w:val="24"/>
                <w:szCs w:val="24"/>
              </w:rPr>
              <w:t xml:space="preserve"> філії  </w:t>
            </w:r>
            <w:proofErr w:type="spellStart"/>
            <w:r>
              <w:rPr>
                <w:sz w:val="24"/>
                <w:szCs w:val="24"/>
              </w:rPr>
              <w:t>Червонокам’янського</w:t>
            </w:r>
            <w:proofErr w:type="spellEnd"/>
            <w:r>
              <w:rPr>
                <w:sz w:val="24"/>
                <w:szCs w:val="24"/>
              </w:rPr>
              <w:t xml:space="preserve"> ліцею</w:t>
            </w:r>
          </w:p>
        </w:tc>
        <w:tc>
          <w:tcPr>
            <w:tcW w:w="5103"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вул. Центральна, 15-А  с. Щасливе, Олександрійський район Кіровоградська область, 28055</w:t>
            </w:r>
          </w:p>
        </w:tc>
        <w:tc>
          <w:tcPr>
            <w:tcW w:w="1146" w:type="dxa"/>
            <w:tcBorders>
              <w:top w:val="single" w:sz="4" w:space="0" w:color="auto"/>
              <w:left w:val="single" w:sz="4" w:space="0" w:color="auto"/>
              <w:bottom w:val="single" w:sz="4" w:space="0" w:color="auto"/>
              <w:right w:val="single" w:sz="4" w:space="0" w:color="auto"/>
            </w:tcBorders>
            <w:hideMark/>
          </w:tcPr>
          <w:p w:rsidR="0018396B" w:rsidRDefault="0018396B">
            <w:pPr>
              <w:rPr>
                <w:sz w:val="24"/>
                <w:szCs w:val="24"/>
              </w:rPr>
            </w:pPr>
            <w:r>
              <w:rPr>
                <w:sz w:val="24"/>
                <w:szCs w:val="24"/>
              </w:rPr>
              <w:t>38</w:t>
            </w:r>
          </w:p>
        </w:tc>
      </w:tr>
    </w:tbl>
    <w:p w:rsidR="0018396B" w:rsidRDefault="0018396B" w:rsidP="0018396B">
      <w:pPr>
        <w:jc w:val="both"/>
        <w:rPr>
          <w:bCs/>
          <w:kern w:val="2"/>
        </w:rPr>
      </w:pPr>
    </w:p>
    <w:p w:rsidR="0018396B" w:rsidRDefault="0018396B" w:rsidP="0018396B">
      <w:pPr>
        <w:tabs>
          <w:tab w:val="left" w:pos="709"/>
        </w:tabs>
        <w:jc w:val="both"/>
      </w:pPr>
      <w:r>
        <w:t>7.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18396B" w:rsidRDefault="0018396B" w:rsidP="0018396B">
      <w:pPr>
        <w:suppressAutoHyphens w:val="0"/>
        <w:autoSpaceDE w:val="0"/>
        <w:autoSpaceDN w:val="0"/>
        <w:adjustRightInd w:val="0"/>
        <w:jc w:val="both"/>
        <w:rPr>
          <w:rFonts w:eastAsiaTheme="minorHAnsi"/>
          <w:lang w:eastAsia="en-US"/>
        </w:rPr>
      </w:pPr>
      <w:r>
        <w:rPr>
          <w:color w:val="000000"/>
        </w:rPr>
        <w:lastRenderedPageBreak/>
        <w:t xml:space="preserve">8. </w:t>
      </w:r>
      <w:r>
        <w:rPr>
          <w:rFonts w:eastAsiaTheme="minorHAnsi"/>
          <w:lang w:eastAsia="en-US"/>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18396B" w:rsidRDefault="0018396B" w:rsidP="0018396B">
      <w:pPr>
        <w:jc w:val="both"/>
        <w:rPr>
          <w:rFonts w:eastAsiaTheme="minorHAnsi"/>
          <w:lang w:eastAsia="en-US"/>
        </w:rPr>
      </w:pPr>
      <w:r>
        <w:rPr>
          <w:rFonts w:eastAsiaTheme="minorHAnsi"/>
          <w:lang w:eastAsia="en-US"/>
        </w:rPr>
        <w:t xml:space="preserve"> (у відповідності до показників, наведених в Таблиці 2).</w:t>
      </w:r>
    </w:p>
    <w:p w:rsidR="0018396B" w:rsidRDefault="0018396B" w:rsidP="0018396B">
      <w:pPr>
        <w:jc w:val="right"/>
        <w:rPr>
          <w:i/>
        </w:rPr>
      </w:pPr>
      <w:r>
        <w:rPr>
          <w:i/>
        </w:rPr>
        <w:t>Таблиця 2</w:t>
      </w:r>
    </w:p>
    <w:tbl>
      <w:tblPr>
        <w:tblStyle w:val="a9"/>
        <w:tblW w:w="0" w:type="auto"/>
        <w:tblInd w:w="0" w:type="dxa"/>
        <w:tblLayout w:type="fixed"/>
        <w:tblLook w:val="04A0"/>
      </w:tblPr>
      <w:tblGrid>
        <w:gridCol w:w="534"/>
        <w:gridCol w:w="2056"/>
        <w:gridCol w:w="779"/>
        <w:gridCol w:w="1134"/>
        <w:gridCol w:w="5670"/>
      </w:tblGrid>
      <w:tr w:rsidR="0018396B" w:rsidTr="0018396B">
        <w:tc>
          <w:tcPr>
            <w:tcW w:w="534"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 п/п</w:t>
            </w:r>
          </w:p>
        </w:tc>
        <w:tc>
          <w:tcPr>
            <w:tcW w:w="2056"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Назва предмету закупівлі</w:t>
            </w:r>
          </w:p>
        </w:tc>
        <w:tc>
          <w:tcPr>
            <w:tcW w:w="779"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кількість</w:t>
            </w:r>
          </w:p>
        </w:tc>
        <w:tc>
          <w:tcPr>
            <w:tcW w:w="5670"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Технічні характеристики</w:t>
            </w:r>
          </w:p>
        </w:tc>
      </w:tr>
      <w:tr w:rsidR="0018396B" w:rsidTr="0018396B">
        <w:tc>
          <w:tcPr>
            <w:tcW w:w="534"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1</w:t>
            </w:r>
          </w:p>
        </w:tc>
        <w:tc>
          <w:tcPr>
            <w:tcW w:w="2056"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lang w:eastAsia="ru-RU"/>
              </w:rPr>
              <w:t>Риба свіжоморожена (ХЕК)</w:t>
            </w:r>
          </w:p>
        </w:tc>
        <w:tc>
          <w:tcPr>
            <w:tcW w:w="779"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18396B" w:rsidRDefault="0018396B">
            <w:pPr>
              <w:jc w:val="both"/>
              <w:rPr>
                <w:sz w:val="24"/>
                <w:szCs w:val="24"/>
              </w:rPr>
            </w:pPr>
            <w:r>
              <w:rPr>
                <w:sz w:val="24"/>
                <w:szCs w:val="24"/>
              </w:rPr>
              <w:t>1003,200</w:t>
            </w:r>
          </w:p>
        </w:tc>
        <w:tc>
          <w:tcPr>
            <w:tcW w:w="5670" w:type="dxa"/>
            <w:tcBorders>
              <w:top w:val="single" w:sz="4" w:space="0" w:color="auto"/>
              <w:left w:val="single" w:sz="4" w:space="0" w:color="auto"/>
              <w:bottom w:val="single" w:sz="4" w:space="0" w:color="auto"/>
              <w:right w:val="single" w:sz="4" w:space="0" w:color="auto"/>
            </w:tcBorders>
            <w:hideMark/>
          </w:tcPr>
          <w:p w:rsidR="0018396B" w:rsidRDefault="0018396B">
            <w:pPr>
              <w:autoSpaceDE w:val="0"/>
              <w:autoSpaceDN w:val="0"/>
              <w:adjustRightInd w:val="0"/>
              <w:jc w:val="both"/>
              <w:rPr>
                <w:rFonts w:eastAsiaTheme="minorHAnsi"/>
                <w:sz w:val="24"/>
                <w:szCs w:val="24"/>
              </w:rPr>
            </w:pPr>
            <w:r>
              <w:rPr>
                <w:rFonts w:eastAsiaTheme="minorHAnsi"/>
                <w:sz w:val="24"/>
                <w:szCs w:val="24"/>
              </w:rPr>
              <w:t>Товар повинен відповідати - ДСТУ 4868:2007. Риба заморожена (33998) - ДСТУ 2641:2007 Продукти рибні. Пакування.</w:t>
            </w:r>
          </w:p>
          <w:p w:rsidR="0018396B" w:rsidRDefault="0018396B">
            <w:pPr>
              <w:autoSpaceDE w:val="0"/>
              <w:autoSpaceDN w:val="0"/>
              <w:adjustRightInd w:val="0"/>
              <w:jc w:val="both"/>
              <w:rPr>
                <w:rFonts w:eastAsia="Arial Unicode MS" w:cs="Courier New"/>
                <w:kern w:val="2"/>
                <w:sz w:val="24"/>
                <w:szCs w:val="24"/>
                <w:lang w:eastAsia="hi-IN" w:bidi="hi-IN"/>
              </w:rPr>
            </w:pPr>
            <w:r>
              <w:rPr>
                <w:rFonts w:eastAsia="Arial Unicode MS" w:cs="Courier New"/>
                <w:kern w:val="2"/>
                <w:sz w:val="24"/>
                <w:szCs w:val="24"/>
                <w:lang w:eastAsia="hi-IN" w:bidi="hi-IN"/>
              </w:rPr>
              <w:t>Риба свіжоморожена Хек тушка розміром 25-30 см., випотрошений, без голови, фасований по 10 кг. в  коробах, ряди перемотані поліетиленовою плівкою, сухої заморозки. 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w:t>
            </w:r>
          </w:p>
          <w:p w:rsidR="0018396B" w:rsidRDefault="0018396B">
            <w:pPr>
              <w:autoSpaceDE w:val="0"/>
              <w:autoSpaceDN w:val="0"/>
              <w:adjustRightInd w:val="0"/>
              <w:jc w:val="both"/>
              <w:rPr>
                <w:sz w:val="24"/>
                <w:szCs w:val="24"/>
              </w:rPr>
            </w:pPr>
            <w:r>
              <w:rPr>
                <w:sz w:val="24"/>
                <w:szCs w:val="24"/>
              </w:rPr>
              <w:t xml:space="preserve">Поверхня кожної одиниці товару ціла, рівна, чиста, не деформована, за кольором властива даному виду, без сторонніх запахів і </w:t>
            </w:r>
            <w:proofErr w:type="spellStart"/>
            <w:r>
              <w:rPr>
                <w:sz w:val="24"/>
                <w:szCs w:val="24"/>
              </w:rPr>
              <w:t>присмаків</w:t>
            </w:r>
            <w:proofErr w:type="spellEnd"/>
            <w:r>
              <w:rPr>
                <w:sz w:val="24"/>
                <w:szCs w:val="24"/>
              </w:rPr>
              <w:t>. Запах (після розмороження чи варіння) – властивий свіжій рибі без стороннього запаху. У замороженій рибі не повинно бути живих гельмінтів та інших личинок, небезпечних для здоров’я людини.</w:t>
            </w:r>
          </w:p>
          <w:p w:rsidR="0018396B" w:rsidRDefault="0018396B">
            <w:pPr>
              <w:autoSpaceDE w:val="0"/>
              <w:autoSpaceDN w:val="0"/>
              <w:adjustRightInd w:val="0"/>
              <w:jc w:val="both"/>
              <w:rPr>
                <w:rFonts w:eastAsiaTheme="minorHAnsi"/>
                <w:sz w:val="24"/>
                <w:szCs w:val="24"/>
              </w:rPr>
            </w:pPr>
            <w:r>
              <w:rPr>
                <w:sz w:val="24"/>
                <w:szCs w:val="24"/>
                <w:lang w:eastAsia="uk-UA"/>
              </w:rPr>
              <w:t>Якість товару повинна відповідати вимогам відповідних діючих нормативних документів (ГОСТ, ДСТУ, ТУ тощо). Товар має бути запакований в ящики, обов’язкова наявність ярликів із зазначенням найменування продукту, виробника, дати виготовлення, терміну придатності, умов зберігання у відповідності до супровідних документів на поставку. Без ГМО, що має бути зазначено на упаковці</w:t>
            </w:r>
          </w:p>
          <w:p w:rsidR="0018396B" w:rsidRDefault="0018396B">
            <w:pPr>
              <w:jc w:val="both"/>
              <w:rPr>
                <w:sz w:val="24"/>
                <w:szCs w:val="24"/>
              </w:rPr>
            </w:pPr>
            <w:r>
              <w:rPr>
                <w:rFonts w:eastAsiaTheme="minorHAnsi"/>
                <w:sz w:val="24"/>
                <w:szCs w:val="24"/>
              </w:rPr>
              <w:t>Термін придатності від загального терміну зберігання (передбаченого виробником) на час поставки товару – не менше 90%.</w:t>
            </w:r>
          </w:p>
        </w:tc>
      </w:tr>
    </w:tbl>
    <w:p w:rsidR="0018396B" w:rsidRDefault="0018396B" w:rsidP="0018396B">
      <w:pPr>
        <w:suppressAutoHyphens w:val="0"/>
        <w:autoSpaceDE w:val="0"/>
        <w:autoSpaceDN w:val="0"/>
        <w:adjustRightInd w:val="0"/>
        <w:jc w:val="both"/>
      </w:pPr>
    </w:p>
    <w:p w:rsidR="0018396B" w:rsidRDefault="0018396B" w:rsidP="0018396B">
      <w:pPr>
        <w:jc w:val="both"/>
        <w:rPr>
          <w:b/>
          <w:color w:val="000000"/>
        </w:rPr>
      </w:pPr>
      <w:r>
        <w:rPr>
          <w:rFonts w:eastAsiaTheme="minorHAnsi"/>
          <w:lang w:eastAsia="en-US"/>
        </w:rPr>
        <w:t xml:space="preserve">9. </w:t>
      </w:r>
      <w:r>
        <w:rPr>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Постанова КМУ від 24.03.2021р. №305  </w:t>
      </w:r>
      <w:r>
        <w:rPr>
          <w:b/>
          <w:color w:val="000000"/>
        </w:rPr>
        <w:t>«</w:t>
      </w:r>
      <w:r>
        <w:rPr>
          <w:rStyle w:val="a8"/>
        </w:rPr>
        <w:t xml:space="preserve">Про затвердження норм та Порядку організації харчування у закладах освіти та дитячих закладах оздоровлення та відпочинку», </w:t>
      </w:r>
      <w:r>
        <w:rPr>
          <w:color w:val="000000"/>
        </w:rPr>
        <w:t xml:space="preserve">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w:t>
      </w:r>
      <w:r>
        <w:rPr>
          <w:color w:val="000000"/>
        </w:rPr>
        <w:lastRenderedPageBreak/>
        <w:t>навчальних закладах», від 01.06.2005 р. № 242/329 «Про затвердження Порядку організації харчування дітей у навчальних та оздоровчих закладах»</w:t>
      </w:r>
      <w:r>
        <w:rPr>
          <w:b/>
          <w:color w:val="000000"/>
        </w:rPr>
        <w:t>.</w:t>
      </w:r>
    </w:p>
    <w:p w:rsidR="0018396B" w:rsidRDefault="0018396B" w:rsidP="0018396B">
      <w:pPr>
        <w:jc w:val="both"/>
        <w:rPr>
          <w:color w:val="000000"/>
        </w:rPr>
      </w:pPr>
      <w:r>
        <w:rPr>
          <w:color w:val="000000"/>
        </w:rPr>
        <w:t xml:space="preserve">10. </w:t>
      </w:r>
      <w:r>
        <w:t>Товар не повинен містити генетично модифіковані організми (ГМО).</w:t>
      </w:r>
    </w:p>
    <w:p w:rsidR="0018396B" w:rsidRDefault="0018396B" w:rsidP="0018396B">
      <w:pPr>
        <w:suppressAutoHyphens w:val="0"/>
        <w:autoSpaceDE w:val="0"/>
        <w:autoSpaceDN w:val="0"/>
        <w:adjustRightInd w:val="0"/>
        <w:jc w:val="both"/>
        <w:rPr>
          <w:rFonts w:eastAsiaTheme="minorHAnsi"/>
          <w:lang w:eastAsia="en-US"/>
        </w:rPr>
      </w:pPr>
      <w:r>
        <w:t xml:space="preserve">11. </w:t>
      </w:r>
      <w:r>
        <w:rPr>
          <w:rFonts w:eastAsiaTheme="minorHAnsi"/>
          <w:lang w:eastAsia="en-US"/>
        </w:rPr>
        <w:t>На упаковці повинна міститися інформація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18396B" w:rsidRDefault="0018396B" w:rsidP="0018396B">
      <w:pPr>
        <w:tabs>
          <w:tab w:val="left" w:pos="709"/>
        </w:tabs>
        <w:jc w:val="both"/>
      </w:pPr>
      <w:r>
        <w:rPr>
          <w:rFonts w:eastAsiaTheme="minorHAnsi"/>
          <w:lang w:eastAsia="en-US"/>
        </w:rPr>
        <w:t xml:space="preserve">11.1. </w:t>
      </w:r>
      <w: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18396B" w:rsidRDefault="0018396B" w:rsidP="0018396B">
      <w:pPr>
        <w:suppressAutoHyphens w:val="0"/>
        <w:autoSpaceDE w:val="0"/>
        <w:autoSpaceDN w:val="0"/>
        <w:adjustRightInd w:val="0"/>
        <w:jc w:val="both"/>
        <w:rPr>
          <w:rFonts w:eastAsiaTheme="minorHAnsi"/>
          <w:lang w:eastAsia="en-US"/>
        </w:rPr>
      </w:pPr>
      <w:r>
        <w:rPr>
          <w:rFonts w:eastAsiaTheme="minorHAnsi"/>
          <w:lang w:eastAsia="en-US"/>
        </w:rPr>
        <w:t>11.2. При поставці товару до закладу Замовника, Постачальник надає такі документи:</w:t>
      </w:r>
    </w:p>
    <w:p w:rsidR="0018396B" w:rsidRDefault="0018396B" w:rsidP="0018396B">
      <w:pPr>
        <w:suppressAutoHyphens w:val="0"/>
        <w:autoSpaceDE w:val="0"/>
        <w:autoSpaceDN w:val="0"/>
        <w:adjustRightInd w:val="0"/>
        <w:jc w:val="both"/>
        <w:rPr>
          <w:rFonts w:eastAsiaTheme="minorHAnsi"/>
          <w:lang w:eastAsia="en-US"/>
        </w:rPr>
      </w:pPr>
      <w:r>
        <w:rPr>
          <w:rFonts w:eastAsiaTheme="minorHAnsi"/>
          <w:lang w:eastAsia="en-US"/>
        </w:rPr>
        <w:t>- видаткову накладну на товар;</w:t>
      </w:r>
    </w:p>
    <w:p w:rsidR="0018396B" w:rsidRDefault="0018396B" w:rsidP="0018396B">
      <w:pPr>
        <w:suppressAutoHyphens w:val="0"/>
        <w:autoSpaceDE w:val="0"/>
        <w:autoSpaceDN w:val="0"/>
        <w:adjustRightInd w:val="0"/>
        <w:jc w:val="both"/>
        <w:rPr>
          <w:rFonts w:eastAsiaTheme="minorHAnsi"/>
          <w:lang w:eastAsia="en-US"/>
        </w:rPr>
      </w:pPr>
      <w:r>
        <w:rPr>
          <w:rFonts w:eastAsiaTheme="minorHAnsi"/>
          <w:lang w:eastAsia="en-US"/>
        </w:rPr>
        <w:t>- товарно-транспортну накладну;</w:t>
      </w:r>
    </w:p>
    <w:p w:rsidR="0018396B" w:rsidRDefault="0018396B" w:rsidP="0018396B">
      <w:pPr>
        <w:suppressAutoHyphens w:val="0"/>
        <w:autoSpaceDE w:val="0"/>
        <w:autoSpaceDN w:val="0"/>
        <w:adjustRightInd w:val="0"/>
        <w:jc w:val="both"/>
        <w:rPr>
          <w:rFonts w:eastAsiaTheme="minorHAnsi"/>
          <w:lang w:eastAsia="en-US"/>
        </w:rPr>
      </w:pPr>
      <w:r>
        <w:rPr>
          <w:rFonts w:eastAsiaTheme="minorHAnsi"/>
          <w:lang w:eastAsia="en-US"/>
        </w:rPr>
        <w:t>- документи, що підтверджують якість товару (сертифікати, декларації, висновки тощо).</w:t>
      </w:r>
    </w:p>
    <w:p w:rsidR="0018396B" w:rsidRDefault="0018396B" w:rsidP="0018396B">
      <w:pPr>
        <w:jc w:val="both"/>
      </w:pPr>
      <w:r>
        <w:rPr>
          <w:bCs/>
        </w:rPr>
        <w:t xml:space="preserve">11.3. </w:t>
      </w:r>
      <w:r>
        <w:t>При виявленні Замовником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w:t>
      </w:r>
    </w:p>
    <w:p w:rsidR="0018396B" w:rsidRDefault="0018396B" w:rsidP="0018396B">
      <w:pPr>
        <w:tabs>
          <w:tab w:val="left" w:pos="709"/>
        </w:tabs>
        <w:jc w:val="both"/>
        <w:rPr>
          <w:bCs/>
        </w:rPr>
      </w:pPr>
      <w:r>
        <w:rPr>
          <w:bCs/>
        </w:rPr>
        <w:t xml:space="preserve">11.4. На  недоброякісний  товар складається акт, і він повертається постачальнику. </w:t>
      </w:r>
    </w:p>
    <w:p w:rsidR="0018396B" w:rsidRDefault="0018396B" w:rsidP="0018396B">
      <w:pPr>
        <w:jc w:val="both"/>
        <w:textAlignment w:val="baseline"/>
      </w:pPr>
      <w:r>
        <w:rPr>
          <w:bCs/>
        </w:rPr>
        <w:t xml:space="preserve">11.5. </w:t>
      </w:r>
      <w:r>
        <w:t>При перевезенні товару Учасник зобов’язаний дотримуватися умов транспортування відповідно до Правил перевезень вантажів автомобільним транспортом в Україні. Тара, упаковка, маркування</w:t>
      </w:r>
      <w:r>
        <w:rPr>
          <w:b/>
        </w:rPr>
        <w:t>:</w:t>
      </w:r>
      <w: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8396B" w:rsidRDefault="0018396B" w:rsidP="0018396B">
      <w:pPr>
        <w:tabs>
          <w:tab w:val="left" w:pos="709"/>
        </w:tabs>
        <w:jc w:val="both"/>
        <w:rPr>
          <w:rFonts w:eastAsiaTheme="minorHAnsi"/>
          <w:lang w:eastAsia="en-US"/>
        </w:rPr>
      </w:pPr>
      <w:r>
        <w:t xml:space="preserve">11.6. </w:t>
      </w:r>
      <w:r>
        <w:rPr>
          <w:rStyle w:val="a8"/>
        </w:rPr>
        <w:t xml:space="preserve">Вимоги до транспортування: </w:t>
      </w:r>
      <w:r>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Pr>
          <w:rFonts w:eastAsiaTheme="minorHAnsi"/>
          <w:lang w:eastAsia="en-US"/>
        </w:rPr>
        <w:t xml:space="preserve">Доставка товару буде  здійснюватися автотранспортом згідно з Правилами перевезень вантажів автомобільним транспортом. </w:t>
      </w:r>
    </w:p>
    <w:p w:rsidR="0018396B" w:rsidRDefault="0018396B" w:rsidP="0018396B">
      <w:pPr>
        <w:jc w:val="both"/>
        <w:rPr>
          <w:lang w:eastAsia="ru-RU"/>
        </w:rPr>
      </w:pPr>
      <w:r>
        <w:t xml:space="preserve">11.7. </w:t>
      </w:r>
      <w:r>
        <w:rPr>
          <w:lang w:eastAsia="ru-RU"/>
        </w:rPr>
        <w:t>Розвантаження товару здійснюється представником Постачальника.</w:t>
      </w:r>
    </w:p>
    <w:p w:rsidR="00272F2D" w:rsidRPr="00F74B3B" w:rsidRDefault="00272F2D" w:rsidP="007807F2">
      <w:pPr>
        <w:jc w:val="both"/>
      </w:pPr>
      <w:r w:rsidRPr="00F74B3B">
        <w:t xml:space="preserve">                                                                </w:t>
      </w:r>
    </w:p>
    <w:sectPr w:rsidR="00272F2D" w:rsidRPr="00F74B3B" w:rsidSect="00DF0A5E">
      <w:pgSz w:w="11906" w:h="16838"/>
      <w:pgMar w:top="993" w:right="707"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56ADA"/>
    <w:rsid w:val="0016316A"/>
    <w:rsid w:val="00163223"/>
    <w:rsid w:val="00176C23"/>
    <w:rsid w:val="00182699"/>
    <w:rsid w:val="00182AEB"/>
    <w:rsid w:val="0018396B"/>
    <w:rsid w:val="00193760"/>
    <w:rsid w:val="001A10B7"/>
    <w:rsid w:val="001A254D"/>
    <w:rsid w:val="001A4164"/>
    <w:rsid w:val="001A6F43"/>
    <w:rsid w:val="001A7840"/>
    <w:rsid w:val="001B0198"/>
    <w:rsid w:val="001D0E7A"/>
    <w:rsid w:val="001D2010"/>
    <w:rsid w:val="001D4E76"/>
    <w:rsid w:val="001D7F7A"/>
    <w:rsid w:val="001E56F9"/>
    <w:rsid w:val="00206793"/>
    <w:rsid w:val="00210CFD"/>
    <w:rsid w:val="002131FB"/>
    <w:rsid w:val="002136D0"/>
    <w:rsid w:val="00213D65"/>
    <w:rsid w:val="002321EB"/>
    <w:rsid w:val="00244D8D"/>
    <w:rsid w:val="00245984"/>
    <w:rsid w:val="00246E4F"/>
    <w:rsid w:val="002526FE"/>
    <w:rsid w:val="002539BB"/>
    <w:rsid w:val="002541CA"/>
    <w:rsid w:val="0026638B"/>
    <w:rsid w:val="00272F2D"/>
    <w:rsid w:val="00277B86"/>
    <w:rsid w:val="00281EB8"/>
    <w:rsid w:val="00282FF5"/>
    <w:rsid w:val="0028395C"/>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3FE9"/>
    <w:rsid w:val="003B4FB7"/>
    <w:rsid w:val="003C1DE6"/>
    <w:rsid w:val="003C6CAC"/>
    <w:rsid w:val="003C7BA6"/>
    <w:rsid w:val="003D2287"/>
    <w:rsid w:val="003D350C"/>
    <w:rsid w:val="003D3917"/>
    <w:rsid w:val="003E5DB8"/>
    <w:rsid w:val="003F0E21"/>
    <w:rsid w:val="003F6D72"/>
    <w:rsid w:val="00401CBB"/>
    <w:rsid w:val="00403A62"/>
    <w:rsid w:val="0041009A"/>
    <w:rsid w:val="0041598B"/>
    <w:rsid w:val="00417E45"/>
    <w:rsid w:val="004408E5"/>
    <w:rsid w:val="0045760B"/>
    <w:rsid w:val="004719D4"/>
    <w:rsid w:val="004724DC"/>
    <w:rsid w:val="0047568D"/>
    <w:rsid w:val="00477336"/>
    <w:rsid w:val="00480370"/>
    <w:rsid w:val="00493D4B"/>
    <w:rsid w:val="004968D9"/>
    <w:rsid w:val="004A4EF5"/>
    <w:rsid w:val="004B1908"/>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6129AF"/>
    <w:rsid w:val="00612B8A"/>
    <w:rsid w:val="00627023"/>
    <w:rsid w:val="00640C92"/>
    <w:rsid w:val="00651A05"/>
    <w:rsid w:val="00654704"/>
    <w:rsid w:val="006606A7"/>
    <w:rsid w:val="0066116C"/>
    <w:rsid w:val="00671F1D"/>
    <w:rsid w:val="00673A52"/>
    <w:rsid w:val="00673A71"/>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03ECE"/>
    <w:rsid w:val="00711772"/>
    <w:rsid w:val="0072210C"/>
    <w:rsid w:val="007338A3"/>
    <w:rsid w:val="0073635E"/>
    <w:rsid w:val="007376DF"/>
    <w:rsid w:val="0075316E"/>
    <w:rsid w:val="007650FF"/>
    <w:rsid w:val="007652F3"/>
    <w:rsid w:val="00766C74"/>
    <w:rsid w:val="00780614"/>
    <w:rsid w:val="007807F2"/>
    <w:rsid w:val="0078337D"/>
    <w:rsid w:val="0078381E"/>
    <w:rsid w:val="0078402C"/>
    <w:rsid w:val="007877EE"/>
    <w:rsid w:val="007930C2"/>
    <w:rsid w:val="007A7C2F"/>
    <w:rsid w:val="007C063E"/>
    <w:rsid w:val="007C141D"/>
    <w:rsid w:val="007C6228"/>
    <w:rsid w:val="007C7A9C"/>
    <w:rsid w:val="007C7F0A"/>
    <w:rsid w:val="007D45AF"/>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963EF"/>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06393"/>
    <w:rsid w:val="0091550E"/>
    <w:rsid w:val="00947296"/>
    <w:rsid w:val="00951C3B"/>
    <w:rsid w:val="00956086"/>
    <w:rsid w:val="00961545"/>
    <w:rsid w:val="00975F2E"/>
    <w:rsid w:val="00976EE6"/>
    <w:rsid w:val="0099311A"/>
    <w:rsid w:val="009B10E2"/>
    <w:rsid w:val="009B1A7B"/>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07C7E"/>
    <w:rsid w:val="00B21139"/>
    <w:rsid w:val="00B21E85"/>
    <w:rsid w:val="00B25C48"/>
    <w:rsid w:val="00B3061B"/>
    <w:rsid w:val="00B30B3E"/>
    <w:rsid w:val="00B34515"/>
    <w:rsid w:val="00B45DD4"/>
    <w:rsid w:val="00B475E7"/>
    <w:rsid w:val="00B536FC"/>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5DCB"/>
    <w:rsid w:val="00BD6FF8"/>
    <w:rsid w:val="00BE5D22"/>
    <w:rsid w:val="00C009B2"/>
    <w:rsid w:val="00C334B4"/>
    <w:rsid w:val="00C37B1F"/>
    <w:rsid w:val="00C72BE6"/>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0A5E"/>
    <w:rsid w:val="00DF112A"/>
    <w:rsid w:val="00DF214F"/>
    <w:rsid w:val="00DF5826"/>
    <w:rsid w:val="00DF77DB"/>
    <w:rsid w:val="00E03ACD"/>
    <w:rsid w:val="00E1066D"/>
    <w:rsid w:val="00E211CE"/>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17A"/>
    <w:rsid w:val="00EC6CAD"/>
    <w:rsid w:val="00EF21B4"/>
    <w:rsid w:val="00EF69E9"/>
    <w:rsid w:val="00F03D01"/>
    <w:rsid w:val="00F16119"/>
    <w:rsid w:val="00F22C9D"/>
    <w:rsid w:val="00F22E26"/>
    <w:rsid w:val="00F24C9E"/>
    <w:rsid w:val="00F378D7"/>
    <w:rsid w:val="00F5002C"/>
    <w:rsid w:val="00F5105F"/>
    <w:rsid w:val="00F57750"/>
    <w:rsid w:val="00F617D4"/>
    <w:rsid w:val="00F6213C"/>
    <w:rsid w:val="00F663D5"/>
    <w:rsid w:val="00F669C8"/>
    <w:rsid w:val="00F66DF4"/>
    <w:rsid w:val="00F75F8D"/>
    <w:rsid w:val="00F8572F"/>
    <w:rsid w:val="00F875B2"/>
    <w:rsid w:val="00F90738"/>
    <w:rsid w:val="00FA719B"/>
    <w:rsid w:val="00FB5BCE"/>
    <w:rsid w:val="00FC12CD"/>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B07C7E"/>
    <w:rPr>
      <w:b/>
      <w:bCs/>
    </w:rPr>
  </w:style>
  <w:style w:type="table" w:styleId="a9">
    <w:name w:val="Table Grid"/>
    <w:basedOn w:val="a1"/>
    <w:uiPriority w:val="59"/>
    <w:rsid w:val="0018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7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6</cp:revision>
  <cp:lastPrinted>2023-05-04T07:56:00Z</cp:lastPrinted>
  <dcterms:created xsi:type="dcterms:W3CDTF">2023-05-05T06:29:00Z</dcterms:created>
  <dcterms:modified xsi:type="dcterms:W3CDTF">2023-05-05T09:43:00Z</dcterms:modified>
</cp:coreProperties>
</file>