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8473F6"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№38 від 05</w:t>
      </w:r>
      <w:r w:rsidR="00A31400" w:rsidRPr="00C524E2">
        <w:rPr>
          <w:rFonts w:ascii="Times New Roman" w:hAnsi="Times New Roman"/>
          <w:sz w:val="24"/>
          <w:szCs w:val="24"/>
          <w:lang w:val="uk-UA"/>
        </w:rPr>
        <w:t xml:space="preserve">.05.2023р.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 телефон/факс:+380523574039, </w:t>
            </w: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е-mail:</w:t>
            </w:r>
            <w:r w:rsidR="00C524E2">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8473F6" w:rsidP="00D00325">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021:2015:15110000-2 «М'ясо</w:t>
            </w:r>
            <w:r w:rsidR="005A134E" w:rsidRPr="00C524E2">
              <w:rPr>
                <w:rFonts w:ascii="Times New Roman" w:hAnsi="Times New Roman"/>
                <w:sz w:val="24"/>
                <w:szCs w:val="24"/>
                <w:lang w:val="uk-UA"/>
              </w:rPr>
              <w:t xml:space="preserve">» </w:t>
            </w:r>
          </w:p>
        </w:tc>
      </w:tr>
      <w:tr w:rsidR="00A31400" w:rsidRPr="008473F6"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8473F6" w:rsidP="00C524E2">
            <w:pPr>
              <w:jc w:val="both"/>
              <w:rPr>
                <w:rFonts w:ascii="Times New Roman" w:hAnsi="Times New Roman"/>
                <w:sz w:val="24"/>
                <w:szCs w:val="24"/>
                <w:lang w:val="uk-UA"/>
              </w:rPr>
            </w:pPr>
            <w:r>
              <w:rPr>
                <w:rFonts w:ascii="Times New Roman" w:hAnsi="Times New Roman"/>
                <w:sz w:val="24"/>
                <w:szCs w:val="24"/>
                <w:lang w:val="uk-UA"/>
              </w:rPr>
              <w:t>Свинина пісна і філе птиці</w:t>
            </w:r>
            <w:r w:rsidR="005A134E" w:rsidRPr="00C524E2">
              <w:rPr>
                <w:rFonts w:ascii="Times New Roman" w:hAnsi="Times New Roman"/>
                <w:sz w:val="24"/>
                <w:szCs w:val="24"/>
                <w:lang w:val="uk-UA"/>
              </w:rPr>
              <w:t xml:space="preserve"> для </w:t>
            </w:r>
            <w:r>
              <w:rPr>
                <w:rFonts w:ascii="Times New Roman" w:hAnsi="Times New Roman"/>
                <w:sz w:val="24"/>
                <w:szCs w:val="24"/>
                <w:lang w:val="uk-UA"/>
              </w:rPr>
              <w:t>закладів дошкільної освіти</w:t>
            </w:r>
            <w:r w:rsidR="005A134E"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дошкільної освіти </w:t>
            </w:r>
            <w:r w:rsidRPr="00C524E2">
              <w:rPr>
                <w:rFonts w:ascii="Times New Roman" w:hAnsi="Times New Roman"/>
                <w:sz w:val="24"/>
                <w:szCs w:val="24"/>
                <w:lang w:val="uk-UA" w:eastAsia="uk-UA"/>
              </w:rPr>
              <w:t xml:space="preserve">  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8473F6"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5606</w:t>
            </w:r>
            <w:r w:rsidR="005A134E" w:rsidRPr="00C524E2">
              <w:rPr>
                <w:rFonts w:ascii="Times New Roman" w:hAnsi="Times New Roman" w:cs="Times New Roman"/>
                <w:sz w:val="24"/>
                <w:szCs w:val="24"/>
              </w:rPr>
              <w:t>00.00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D00325"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до 31 грудня 2023 року</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8473F6"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15</w:t>
            </w:r>
            <w:r w:rsidR="005A134E" w:rsidRPr="00C524E2">
              <w:rPr>
                <w:rFonts w:ascii="Times New Roman" w:hAnsi="Times New Roman" w:cs="Times New Roman"/>
                <w:sz w:val="24"/>
                <w:szCs w:val="24"/>
              </w:rPr>
              <w:t xml:space="preserve"> травня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повинні бути складені тендерні </w:t>
            </w:r>
            <w:r w:rsidRPr="00C524E2">
              <w:rPr>
                <w:rFonts w:ascii="Times New Roman" w:hAnsi="Times New Roman"/>
                <w:b/>
                <w:sz w:val="24"/>
                <w:szCs w:val="24"/>
                <w:lang w:val="uk-UA"/>
              </w:rPr>
              <w:lastRenderedPageBreak/>
              <w:t>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r w:rsidR="008473F6">
              <w:rPr>
                <w:lang w:val="uk-UA"/>
              </w:rPr>
              <w:t xml:space="preserve"> (2803,0</w:t>
            </w:r>
            <w:r w:rsidR="0014326B">
              <w:rPr>
                <w:lang w:val="uk-UA"/>
              </w:rPr>
              <w:t>0 грн.)</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7F3D"/>
    <w:rsid w:val="00111622"/>
    <w:rsid w:val="001267D2"/>
    <w:rsid w:val="00140440"/>
    <w:rsid w:val="0014326B"/>
    <w:rsid w:val="001B3D7A"/>
    <w:rsid w:val="001B4D71"/>
    <w:rsid w:val="00280ABF"/>
    <w:rsid w:val="00296D78"/>
    <w:rsid w:val="002A11B4"/>
    <w:rsid w:val="00312CE2"/>
    <w:rsid w:val="0047394D"/>
    <w:rsid w:val="00492584"/>
    <w:rsid w:val="004A3D0E"/>
    <w:rsid w:val="004D6FD9"/>
    <w:rsid w:val="00523B1F"/>
    <w:rsid w:val="00587A5A"/>
    <w:rsid w:val="005A134E"/>
    <w:rsid w:val="005A60A5"/>
    <w:rsid w:val="005A68CF"/>
    <w:rsid w:val="005E48A2"/>
    <w:rsid w:val="00606287"/>
    <w:rsid w:val="00620DE5"/>
    <w:rsid w:val="00677062"/>
    <w:rsid w:val="0071128E"/>
    <w:rsid w:val="00792F5A"/>
    <w:rsid w:val="007A6303"/>
    <w:rsid w:val="007B7F67"/>
    <w:rsid w:val="007C41B8"/>
    <w:rsid w:val="00841F5E"/>
    <w:rsid w:val="008473F6"/>
    <w:rsid w:val="00851B0D"/>
    <w:rsid w:val="00871831"/>
    <w:rsid w:val="008A79FA"/>
    <w:rsid w:val="008F3360"/>
    <w:rsid w:val="00965621"/>
    <w:rsid w:val="00971632"/>
    <w:rsid w:val="00A07F07"/>
    <w:rsid w:val="00A24F28"/>
    <w:rsid w:val="00A26B34"/>
    <w:rsid w:val="00A31400"/>
    <w:rsid w:val="00A619E9"/>
    <w:rsid w:val="00A77405"/>
    <w:rsid w:val="00AB74A7"/>
    <w:rsid w:val="00AE2373"/>
    <w:rsid w:val="00AE4387"/>
    <w:rsid w:val="00C524E2"/>
    <w:rsid w:val="00C575C3"/>
    <w:rsid w:val="00C76C64"/>
    <w:rsid w:val="00C90223"/>
    <w:rsid w:val="00CC73DE"/>
    <w:rsid w:val="00D00325"/>
    <w:rsid w:val="00DA1372"/>
    <w:rsid w:val="00DC4AD1"/>
    <w:rsid w:val="00E26EFB"/>
    <w:rsid w:val="00E37AAF"/>
    <w:rsid w:val="00E9756D"/>
    <w:rsid w:val="00EB514E"/>
    <w:rsid w:val="00EC19BE"/>
    <w:rsid w:val="00EE58C4"/>
    <w:rsid w:val="00F17F2A"/>
    <w:rsid w:val="00F45CC8"/>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9</cp:revision>
  <dcterms:created xsi:type="dcterms:W3CDTF">2023-05-03T12:08:00Z</dcterms:created>
  <dcterms:modified xsi:type="dcterms:W3CDTF">2023-05-04T09:12:00Z</dcterms:modified>
</cp:coreProperties>
</file>