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0" w:rsidRPr="00F04A20" w:rsidRDefault="00F04A20" w:rsidP="00F04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</w:p>
    <w:p w:rsidR="00F04A20" w:rsidRPr="00F04A20" w:rsidRDefault="00F04A20" w:rsidP="00F04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розміру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</w:t>
      </w:r>
    </w:p>
    <w:p w:rsidR="00F04A20" w:rsidRPr="00F04A20" w:rsidRDefault="00F04A20" w:rsidP="00F04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«Код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ДК 021:2015 «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закупівельний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словник» – 09110000-3 –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Тверде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паливо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кам’яне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A20">
        <w:rPr>
          <w:rFonts w:ascii="Times New Roman" w:hAnsi="Times New Roman" w:cs="Times New Roman"/>
          <w:bCs/>
          <w:sz w:val="24"/>
          <w:szCs w:val="24"/>
        </w:rPr>
        <w:t>Г(Г2)(50-100), Г(Г1)(13-100), Г(Г2)/А(13-100)</w:t>
      </w:r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)» на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другий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опалювальний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сезон 2023 року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20" w:rsidRPr="00F04A20" w:rsidRDefault="00F04A20" w:rsidP="00F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4A20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ДК 021:2015 «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словник» –               09110000-3 –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Тверде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кам’яне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Г(Г2)(50-100), Г(Г1)(13-100), Г(Г2)/А(13-100)</w:t>
      </w:r>
      <w:r w:rsidRPr="00F04A20">
        <w:rPr>
          <w:rFonts w:ascii="Times New Roman" w:hAnsi="Times New Roman" w:cs="Times New Roman"/>
          <w:sz w:val="24"/>
          <w:szCs w:val="24"/>
        </w:rPr>
        <w:t>).</w:t>
      </w:r>
    </w:p>
    <w:p w:rsidR="00F04A20" w:rsidRPr="00F04A20" w:rsidRDefault="00F04A20" w:rsidP="00F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sz w:val="24"/>
          <w:szCs w:val="24"/>
        </w:rPr>
        <w:t xml:space="preserve">2. Процедура </w:t>
      </w:r>
      <w:proofErr w:type="spellStart"/>
      <w:r w:rsidRPr="00F04A20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торги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Pr="00F04A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4A20">
        <w:rPr>
          <w:rFonts w:ascii="Times New Roman" w:hAnsi="Times New Roman" w:cs="Times New Roman"/>
          <w:b/>
          <w:sz w:val="24"/>
          <w:szCs w:val="24"/>
        </w:rPr>
        <w:t>ідстава</w:t>
      </w:r>
      <w:proofErr w:type="spellEnd"/>
      <w:r w:rsidRPr="00F0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sz w:val="24"/>
          <w:szCs w:val="24"/>
        </w:rPr>
        <w:t>складання</w:t>
      </w:r>
      <w:proofErr w:type="spellEnd"/>
      <w:r w:rsidRPr="00F04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F04A20">
        <w:rPr>
          <w:rFonts w:ascii="Times New Roman" w:hAnsi="Times New Roman" w:cs="Times New Roman"/>
          <w:b/>
          <w:sz w:val="24"/>
          <w:szCs w:val="24"/>
        </w:rPr>
        <w:t>:</w:t>
      </w:r>
      <w:r w:rsidRPr="00F04A20">
        <w:rPr>
          <w:rFonts w:ascii="Times New Roman" w:hAnsi="Times New Roman" w:cs="Times New Roman"/>
          <w:sz w:val="24"/>
          <w:szCs w:val="24"/>
        </w:rPr>
        <w:t xml:space="preserve"> пункт 4¹ постанови КМУ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)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ст.22, 23 Закону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– Закон). 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sz w:val="24"/>
          <w:szCs w:val="24"/>
        </w:rPr>
        <w:t>4.</w:t>
      </w:r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доц</w:t>
      </w:r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>ільності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кам’яне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Г(Г2)(50-100), Г(Г1)(13-100), Г(Г2)/А(13-100)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r w:rsidRPr="00F04A20">
        <w:rPr>
          <w:rFonts w:ascii="Times New Roman" w:hAnsi="Times New Roman" w:cs="Times New Roman"/>
          <w:sz w:val="24"/>
          <w:szCs w:val="24"/>
          <w:lang w:eastAsia="uk-UA"/>
        </w:rPr>
        <w:t xml:space="preserve"> потреб </w:t>
      </w:r>
      <w:proofErr w:type="spellStart"/>
      <w:r w:rsidRPr="00F04A20">
        <w:rPr>
          <w:rFonts w:ascii="Times New Roman" w:hAnsi="Times New Roman" w:cs="Times New Roman"/>
          <w:sz w:val="24"/>
          <w:szCs w:val="24"/>
          <w:lang w:eastAsia="uk-UA"/>
        </w:rPr>
        <w:t>закладів</w:t>
      </w:r>
      <w:proofErr w:type="spellEnd"/>
      <w:r w:rsidRPr="00F04A2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Pr="00F04A2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  <w:lang w:eastAsia="uk-UA"/>
        </w:rPr>
        <w:t>Попельнастівської</w:t>
      </w:r>
      <w:proofErr w:type="spellEnd"/>
      <w:r w:rsidRPr="00F04A2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  <w:lang w:eastAsia="uk-UA"/>
        </w:rPr>
        <w:t>сільської</w:t>
      </w:r>
      <w:proofErr w:type="spellEnd"/>
      <w:r w:rsidRPr="00F04A20">
        <w:rPr>
          <w:rFonts w:ascii="Times New Roman" w:hAnsi="Times New Roman" w:cs="Times New Roman"/>
          <w:sz w:val="24"/>
          <w:szCs w:val="24"/>
          <w:lang w:eastAsia="uk-UA"/>
        </w:rPr>
        <w:t xml:space="preserve"> ради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Олександрійського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району</w:t>
      </w:r>
      <w:proofErr w:type="gramStart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04A20">
        <w:rPr>
          <w:rFonts w:ascii="Times New Roman" w:hAnsi="Times New Roman" w:cs="Times New Roman"/>
          <w:bCs/>
          <w:sz w:val="24"/>
          <w:szCs w:val="24"/>
        </w:rPr>
        <w:t>іровоградської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другого </w:t>
      </w:r>
      <w:proofErr w:type="spellStart"/>
      <w:r w:rsidRPr="00F04A20">
        <w:rPr>
          <w:rFonts w:ascii="Times New Roman" w:hAnsi="Times New Roman" w:cs="Times New Roman"/>
          <w:bCs/>
          <w:sz w:val="24"/>
          <w:szCs w:val="24"/>
        </w:rPr>
        <w:t>опалювального</w:t>
      </w:r>
      <w:proofErr w:type="spell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 сезону 2023 року</w:t>
      </w:r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sz w:val="24"/>
          <w:szCs w:val="24"/>
        </w:rPr>
        <w:t>5.</w:t>
      </w:r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обсягі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за 2022 </w:t>
      </w:r>
      <w:proofErr w:type="spellStart"/>
      <w:proofErr w:type="gramStart"/>
      <w:r w:rsidRPr="00F04A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залишків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потреба на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опалювальний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сезон  2023 року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:</w:t>
      </w:r>
    </w:p>
    <w:p w:rsidR="00F04A20" w:rsidRPr="00F04A20" w:rsidRDefault="00F04A20" w:rsidP="00F0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A20">
        <w:rPr>
          <w:rFonts w:ascii="Times New Roman" w:hAnsi="Times New Roman" w:cs="Times New Roman"/>
          <w:bCs/>
          <w:sz w:val="24"/>
          <w:szCs w:val="24"/>
        </w:rPr>
        <w:t>Г(</w:t>
      </w:r>
      <w:proofErr w:type="gramEnd"/>
      <w:r w:rsidRPr="00F04A20">
        <w:rPr>
          <w:rFonts w:ascii="Times New Roman" w:hAnsi="Times New Roman" w:cs="Times New Roman"/>
          <w:bCs/>
          <w:sz w:val="24"/>
          <w:szCs w:val="24"/>
        </w:rPr>
        <w:t xml:space="preserve">Г2)(50-100) </w:t>
      </w:r>
      <w:r w:rsidRPr="00F04A20">
        <w:rPr>
          <w:rFonts w:ascii="Times New Roman" w:hAnsi="Times New Roman" w:cs="Times New Roman"/>
          <w:sz w:val="24"/>
          <w:szCs w:val="24"/>
        </w:rPr>
        <w:t xml:space="preserve">– 22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тонни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;</w:t>
      </w:r>
    </w:p>
    <w:p w:rsidR="00F04A20" w:rsidRPr="00F04A20" w:rsidRDefault="00F04A20" w:rsidP="00F0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A20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 xml:space="preserve">Г1) (13-100) – 64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тонни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;</w:t>
      </w:r>
    </w:p>
    <w:p w:rsidR="00F04A20" w:rsidRPr="00F04A20" w:rsidRDefault="00F04A20" w:rsidP="00F04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A20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Г2)/А (13-100) – 21 тонну.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sz w:val="24"/>
          <w:szCs w:val="24"/>
        </w:rPr>
        <w:t>6.</w:t>
      </w:r>
      <w:r w:rsidRPr="00F04A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ст.22, 23 Закону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– Закон) та Постанови </w:t>
      </w:r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КМУ «Про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», на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90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скасування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» №1178 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12.10.2022 року (</w:t>
      </w:r>
      <w:proofErr w:type="spellStart"/>
      <w:r w:rsidRPr="00F04A20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04A20">
        <w:rPr>
          <w:rFonts w:ascii="Times New Roman" w:hAnsi="Times New Roman" w:cs="Times New Roman"/>
          <w:color w:val="000000"/>
          <w:sz w:val="24"/>
          <w:szCs w:val="24"/>
        </w:rPr>
        <w:t xml:space="preserve"> – Постанова)</w:t>
      </w:r>
      <w:r w:rsidRPr="00F04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потребою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товарах на другу половину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опалювального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сезону 2023 року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технічних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параметрів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приладів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опалення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в закладах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замовника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національного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стандарту ДСТУ 7146:2010 «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кам’яне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та антрацит для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побутових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потреб.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Технічні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iCs/>
          <w:sz w:val="24"/>
          <w:szCs w:val="24"/>
        </w:rPr>
        <w:t>умови</w:t>
      </w:r>
      <w:proofErr w:type="spellEnd"/>
      <w:r w:rsidRPr="00F04A20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Закону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«Про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охорону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праці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», Постанова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Кабінету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Міні</w:t>
      </w:r>
      <w:proofErr w:type="gram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стр</w:t>
      </w:r>
      <w:proofErr w:type="gram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>ів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26 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жовтня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2016 року № 1107, ст. 2 Закону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"Про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екологічний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аудит", ст. 34,54 Закону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"Про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охорону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навколишнього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природного </w:t>
      </w:r>
      <w:proofErr w:type="spellStart"/>
      <w:r w:rsidRPr="00F04A20">
        <w:rPr>
          <w:rFonts w:ascii="Times New Roman" w:hAnsi="Times New Roman" w:cs="Times New Roman"/>
          <w:bCs/>
          <w:iCs/>
          <w:sz w:val="24"/>
          <w:szCs w:val="24"/>
        </w:rPr>
        <w:t>середовища</w:t>
      </w:r>
      <w:proofErr w:type="spellEnd"/>
      <w:r w:rsidRPr="00F04A20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Розмі</w:t>
      </w:r>
      <w:proofErr w:type="gram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одержувач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асигнування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 xml:space="preserve"> Бюджетного кодексу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прогнозних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кошторисів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28 лютого 2002 р. № 228 (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).</w:t>
      </w:r>
    </w:p>
    <w:p w:rsidR="00F04A20" w:rsidRPr="00F04A20" w:rsidRDefault="00F04A20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F04A2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Очікувану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№ 275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18.02.2020 р. </w:t>
      </w:r>
      <w:r w:rsidRPr="00F04A20">
        <w:rPr>
          <w:rFonts w:ascii="Times New Roman" w:hAnsi="Times New Roman" w:cs="Times New Roman"/>
          <w:sz w:val="24"/>
          <w:szCs w:val="24"/>
        </w:rPr>
        <w:lastRenderedPageBreak/>
        <w:t xml:space="preserve">та наказу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прикордонної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09.09.2019 № 480-аг «Про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A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4A20" w:rsidRPr="00F04A20" w:rsidRDefault="00F04A20" w:rsidP="00F04A2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Очікувану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№ 275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18.02.2020р. Для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використовувались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отримана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цінового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висновками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10.04.2023р. №В-95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19.04.2023р. №В-105.</w:t>
      </w:r>
    </w:p>
    <w:p w:rsidR="00F04A20" w:rsidRPr="00F04A20" w:rsidRDefault="00F04A20" w:rsidP="00F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F04A2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04A2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до плану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та становить 1476600,00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</w:t>
      </w:r>
    </w:p>
    <w:p w:rsidR="00F04A20" w:rsidRPr="00F04A20" w:rsidRDefault="00F04A20" w:rsidP="00F0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середньозважена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кам’яного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 xml:space="preserve"> за 1 тонну – 13800,00 </w:t>
      </w:r>
      <w:proofErr w:type="spellStart"/>
      <w:r w:rsidRPr="00F04A2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04A20">
        <w:rPr>
          <w:rFonts w:ascii="Times New Roman" w:hAnsi="Times New Roman" w:cs="Times New Roman"/>
          <w:sz w:val="24"/>
          <w:szCs w:val="24"/>
        </w:rPr>
        <w:t>.).</w:t>
      </w:r>
    </w:p>
    <w:p w:rsidR="00C67B61" w:rsidRDefault="00C67B61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 w:eastAsia="uk-UA"/>
        </w:rPr>
      </w:pPr>
      <w:r w:rsidRPr="00A0158F">
        <w:rPr>
          <w:rFonts w:ascii="Times New Roman" w:hAnsi="Times New Roman" w:cs="Times New Roman"/>
          <w:b/>
          <w:lang w:val="uk-UA" w:eastAsia="uk-UA"/>
        </w:rPr>
        <w:t>ТЕХНІЧНА СЕЦИФІКАЦІЯ</w:t>
      </w: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 w:eastAsia="uk-UA"/>
        </w:rPr>
      </w:pPr>
      <w:r w:rsidRPr="00A0158F">
        <w:rPr>
          <w:rFonts w:ascii="Times New Roman" w:hAnsi="Times New Roman" w:cs="Times New Roman"/>
          <w:b/>
          <w:lang w:val="uk-UA" w:eastAsia="uk-UA"/>
        </w:rPr>
        <w:t>Інформація</w:t>
      </w:r>
      <w:r w:rsidRPr="00A0158F">
        <w:rPr>
          <w:rFonts w:ascii="Times New Roman" w:hAnsi="Times New Roman" w:cs="Times New Roman"/>
          <w:lang w:val="uk-UA" w:eastAsia="uk-UA"/>
        </w:rPr>
        <w:t xml:space="preserve"> </w:t>
      </w:r>
      <w:r w:rsidRPr="00A0158F">
        <w:rPr>
          <w:rFonts w:ascii="Times New Roman" w:hAnsi="Times New Roman" w:cs="Times New Roman"/>
          <w:b/>
          <w:lang w:val="uk-UA" w:eastAsia="uk-UA"/>
        </w:rPr>
        <w:t xml:space="preserve">про необхідні технічні, якісні та кількісні характеристики </w:t>
      </w: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eastAsia="uk-UA"/>
        </w:rPr>
      </w:pPr>
      <w:r w:rsidRPr="00A0158F">
        <w:rPr>
          <w:rFonts w:ascii="Times New Roman" w:hAnsi="Times New Roman" w:cs="Times New Roman"/>
          <w:b/>
          <w:lang w:eastAsia="uk-UA"/>
        </w:rPr>
        <w:t xml:space="preserve">предмета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закупі</w:t>
      </w:r>
      <w:proofErr w:type="gramStart"/>
      <w:r w:rsidRPr="00A0158F">
        <w:rPr>
          <w:rFonts w:ascii="Times New Roman" w:hAnsi="Times New Roman" w:cs="Times New Roman"/>
          <w:b/>
          <w:lang w:eastAsia="uk-UA"/>
        </w:rPr>
        <w:t>вл</w:t>
      </w:r>
      <w:proofErr w:type="gramEnd"/>
      <w:r w:rsidRPr="00A0158F">
        <w:rPr>
          <w:rFonts w:ascii="Times New Roman" w:hAnsi="Times New Roman" w:cs="Times New Roman"/>
          <w:b/>
          <w:lang w:eastAsia="uk-UA"/>
        </w:rPr>
        <w:t>і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та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вимоги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щодо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надання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документів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учасниками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0158F">
        <w:rPr>
          <w:rFonts w:ascii="Times New Roman" w:hAnsi="Times New Roman" w:cs="Times New Roman"/>
          <w:b/>
          <w:lang w:eastAsia="uk-UA"/>
        </w:rPr>
        <w:t xml:space="preserve">для </w:t>
      </w:r>
      <w:proofErr w:type="spellStart"/>
      <w:proofErr w:type="gramStart"/>
      <w:r w:rsidRPr="00A0158F">
        <w:rPr>
          <w:rFonts w:ascii="Times New Roman" w:hAnsi="Times New Roman" w:cs="Times New Roman"/>
          <w:b/>
          <w:lang w:eastAsia="uk-UA"/>
        </w:rPr>
        <w:t>п</w:t>
      </w:r>
      <w:proofErr w:type="gramEnd"/>
      <w:r w:rsidRPr="00A0158F">
        <w:rPr>
          <w:rFonts w:ascii="Times New Roman" w:hAnsi="Times New Roman" w:cs="Times New Roman"/>
          <w:b/>
          <w:lang w:eastAsia="uk-UA"/>
        </w:rPr>
        <w:t>ідтвердження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такої</w:t>
      </w:r>
      <w:proofErr w:type="spellEnd"/>
      <w:r w:rsidRPr="00A0158F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Pr="00A0158F">
        <w:rPr>
          <w:rFonts w:ascii="Times New Roman" w:hAnsi="Times New Roman" w:cs="Times New Roman"/>
          <w:b/>
          <w:lang w:eastAsia="uk-UA"/>
        </w:rPr>
        <w:t>відповідності</w:t>
      </w:r>
      <w:proofErr w:type="spellEnd"/>
      <w:r w:rsidRPr="00A0158F">
        <w:rPr>
          <w:rFonts w:ascii="Times New Roman" w:hAnsi="Times New Roman" w:cs="Times New Roman"/>
          <w:b/>
        </w:rPr>
        <w:t xml:space="preserve"> </w:t>
      </w: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 xml:space="preserve">до предмету </w:t>
      </w:r>
      <w:proofErr w:type="spellStart"/>
      <w:r w:rsidRPr="00A0158F">
        <w:rPr>
          <w:rFonts w:ascii="Times New Roman" w:hAnsi="Times New Roman" w:cs="Times New Roman"/>
        </w:rPr>
        <w:t>закупі</w:t>
      </w:r>
      <w:proofErr w:type="gramStart"/>
      <w:r w:rsidRPr="00A0158F">
        <w:rPr>
          <w:rFonts w:ascii="Times New Roman" w:hAnsi="Times New Roman" w:cs="Times New Roman"/>
        </w:rPr>
        <w:t>вл</w:t>
      </w:r>
      <w:proofErr w:type="gramEnd"/>
      <w:r w:rsidRPr="00A0158F">
        <w:rPr>
          <w:rFonts w:ascii="Times New Roman" w:hAnsi="Times New Roman" w:cs="Times New Roman"/>
        </w:rPr>
        <w:t>і</w:t>
      </w:r>
      <w:proofErr w:type="spellEnd"/>
      <w:r w:rsidRPr="00A0158F">
        <w:rPr>
          <w:rFonts w:ascii="Times New Roman" w:hAnsi="Times New Roman" w:cs="Times New Roman"/>
        </w:rPr>
        <w:t>:</w:t>
      </w:r>
    </w:p>
    <w:p w:rsidR="00A0158F" w:rsidRPr="00A0158F" w:rsidRDefault="00A0158F" w:rsidP="00A0158F">
      <w:pPr>
        <w:pStyle w:val="tbl-cod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A0158F">
        <w:rPr>
          <w:rFonts w:eastAsia="Arial"/>
          <w:b/>
        </w:rPr>
        <w:t>Вугілля кам’яне Г</w:t>
      </w:r>
      <w:r w:rsidRPr="00A0158F">
        <w:rPr>
          <w:rFonts w:eastAsia="Arial"/>
          <w:b/>
          <w:lang w:val="ru-RU"/>
        </w:rPr>
        <w:t>(Г2)</w:t>
      </w:r>
      <w:r w:rsidRPr="00A0158F">
        <w:rPr>
          <w:rFonts w:eastAsia="Arial"/>
          <w:b/>
        </w:rPr>
        <w:t>(</w:t>
      </w:r>
      <w:r w:rsidRPr="00A0158F">
        <w:rPr>
          <w:rFonts w:eastAsia="Arial"/>
          <w:b/>
          <w:lang w:val="ru-RU"/>
        </w:rPr>
        <w:t>50</w:t>
      </w:r>
      <w:r w:rsidRPr="00A0158F">
        <w:rPr>
          <w:rFonts w:eastAsia="Arial"/>
          <w:b/>
        </w:rPr>
        <w:t>-</w:t>
      </w:r>
      <w:r w:rsidRPr="00A0158F">
        <w:rPr>
          <w:rFonts w:eastAsia="Arial"/>
          <w:b/>
          <w:lang w:val="ru-RU"/>
        </w:rPr>
        <w:t>100</w:t>
      </w:r>
      <w:r w:rsidRPr="00A0158F">
        <w:rPr>
          <w:rFonts w:eastAsia="Arial"/>
          <w:b/>
        </w:rPr>
        <w:t>), Г(Г</w:t>
      </w:r>
      <w:r w:rsidRPr="00A0158F">
        <w:rPr>
          <w:rFonts w:eastAsia="Arial"/>
          <w:b/>
          <w:lang w:val="ru-RU"/>
        </w:rPr>
        <w:t>1</w:t>
      </w:r>
      <w:r w:rsidRPr="00A0158F">
        <w:rPr>
          <w:rFonts w:eastAsia="Arial"/>
          <w:b/>
        </w:rPr>
        <w:t>)(13-100), Г(Г2)/</w:t>
      </w:r>
      <w:r w:rsidRPr="00A0158F">
        <w:rPr>
          <w:rFonts w:eastAsia="Arial"/>
          <w:b/>
          <w:lang w:val="ru-RU"/>
        </w:rPr>
        <w:t>А</w:t>
      </w:r>
      <w:r w:rsidRPr="00A0158F">
        <w:rPr>
          <w:rFonts w:eastAsia="Arial"/>
          <w:b/>
        </w:rPr>
        <w:t>(13-</w:t>
      </w:r>
      <w:r w:rsidRPr="00A0158F">
        <w:rPr>
          <w:rFonts w:eastAsia="Arial"/>
          <w:b/>
          <w:lang w:val="ru-RU"/>
        </w:rPr>
        <w:t>100</w:t>
      </w:r>
      <w:r w:rsidRPr="00A0158F">
        <w:rPr>
          <w:rFonts w:eastAsia="Arial"/>
          <w:b/>
        </w:rPr>
        <w:t>)</w:t>
      </w:r>
      <w:r w:rsidRPr="00A0158F">
        <w:rPr>
          <w:b/>
          <w:bdr w:val="none" w:sz="0" w:space="0" w:color="auto" w:frame="1"/>
        </w:rPr>
        <w:t xml:space="preserve">, </w:t>
      </w:r>
    </w:p>
    <w:p w:rsidR="00A0158F" w:rsidRPr="00A0158F" w:rsidRDefault="00A0158F" w:rsidP="00A0158F">
      <w:pPr>
        <w:pStyle w:val="tbl-cod"/>
        <w:spacing w:before="0" w:beforeAutospacing="0" w:after="0" w:afterAutospacing="0"/>
        <w:jc w:val="center"/>
        <w:rPr>
          <w:b/>
        </w:rPr>
      </w:pPr>
      <w:r w:rsidRPr="00A0158F">
        <w:rPr>
          <w:b/>
          <w:bdr w:val="none" w:sz="0" w:space="0" w:color="auto" w:frame="1"/>
        </w:rPr>
        <w:t xml:space="preserve">код за </w:t>
      </w:r>
      <w:proofErr w:type="spellStart"/>
      <w:r w:rsidRPr="00A0158F">
        <w:rPr>
          <w:b/>
          <w:bdr w:val="none" w:sz="0" w:space="0" w:color="auto" w:frame="1"/>
        </w:rPr>
        <w:t>ДК</w:t>
      </w:r>
      <w:proofErr w:type="spellEnd"/>
      <w:r w:rsidRPr="00A0158F">
        <w:rPr>
          <w:b/>
          <w:bdr w:val="none" w:sz="0" w:space="0" w:color="auto" w:frame="1"/>
        </w:rPr>
        <w:t xml:space="preserve"> 021:2015 - </w:t>
      </w:r>
      <w:r w:rsidRPr="00A0158F">
        <w:rPr>
          <w:b/>
        </w:rPr>
        <w:t>09110000-3 Тверде паливо</w:t>
      </w:r>
    </w:p>
    <w:p w:rsidR="00A0158F" w:rsidRPr="00A0158F" w:rsidRDefault="00A0158F" w:rsidP="00A0158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0158F" w:rsidRPr="00A0158F" w:rsidRDefault="00A0158F" w:rsidP="00A0158F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 w:rsidRPr="00A0158F">
        <w:rPr>
          <w:rFonts w:ascii="Times New Roman" w:hAnsi="Times New Roman" w:cs="Times New Roman"/>
        </w:rPr>
        <w:t>Технічні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якісні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кількісні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інші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вимоги</w:t>
      </w:r>
      <w:proofErr w:type="spellEnd"/>
      <w:r w:rsidRPr="00A0158F">
        <w:rPr>
          <w:rFonts w:ascii="Times New Roman" w:hAnsi="Times New Roman" w:cs="Times New Roman"/>
        </w:rPr>
        <w:t xml:space="preserve"> до предмета </w:t>
      </w:r>
      <w:proofErr w:type="spellStart"/>
      <w:r w:rsidRPr="00A0158F">
        <w:rPr>
          <w:rFonts w:ascii="Times New Roman" w:hAnsi="Times New Roman" w:cs="Times New Roman"/>
        </w:rPr>
        <w:t>закупівлі</w:t>
      </w:r>
      <w:proofErr w:type="spellEnd"/>
      <w:r w:rsidRPr="00A0158F">
        <w:rPr>
          <w:rFonts w:ascii="Times New Roman" w:hAnsi="Times New Roman" w:cs="Times New Roman"/>
        </w:rPr>
        <w:t>.</w:t>
      </w:r>
    </w:p>
    <w:p w:rsidR="00A0158F" w:rsidRPr="00A0158F" w:rsidRDefault="00A0158F" w:rsidP="00A0158F">
      <w:pPr>
        <w:numPr>
          <w:ilvl w:val="1"/>
          <w:numId w:val="1"/>
        </w:numPr>
        <w:tabs>
          <w:tab w:val="left" w:pos="851"/>
          <w:tab w:val="left" w:pos="1276"/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 w:rsidRPr="00A0158F">
        <w:rPr>
          <w:rFonts w:ascii="Times New Roman" w:hAnsi="Times New Roman" w:cs="Times New Roman"/>
        </w:rPr>
        <w:t>Основні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технологічні</w:t>
      </w:r>
      <w:proofErr w:type="spellEnd"/>
      <w:r w:rsidRPr="00A0158F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відповідно</w:t>
      </w:r>
      <w:proofErr w:type="spellEnd"/>
      <w:r w:rsidRPr="00A0158F">
        <w:rPr>
          <w:rFonts w:ascii="Times New Roman" w:hAnsi="Times New Roman" w:cs="Times New Roman"/>
        </w:rPr>
        <w:t xml:space="preserve"> до ДСТУ 3472:2015 «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буре, </w:t>
      </w:r>
      <w:proofErr w:type="spellStart"/>
      <w:r w:rsidRPr="00A0158F">
        <w:rPr>
          <w:rFonts w:ascii="Times New Roman" w:hAnsi="Times New Roman" w:cs="Times New Roman"/>
        </w:rPr>
        <w:t>кам’яне</w:t>
      </w:r>
      <w:proofErr w:type="spellEnd"/>
      <w:r w:rsidRPr="00A0158F">
        <w:rPr>
          <w:rFonts w:ascii="Times New Roman" w:hAnsi="Times New Roman" w:cs="Times New Roman"/>
        </w:rPr>
        <w:t xml:space="preserve"> та антрацит. </w:t>
      </w:r>
      <w:proofErr w:type="spellStart"/>
      <w:r w:rsidRPr="00A0158F">
        <w:rPr>
          <w:rFonts w:ascii="Times New Roman" w:hAnsi="Times New Roman" w:cs="Times New Roman"/>
        </w:rPr>
        <w:t>Класифікація</w:t>
      </w:r>
      <w:proofErr w:type="spellEnd"/>
      <w:r w:rsidRPr="00A0158F">
        <w:rPr>
          <w:rFonts w:ascii="Times New Roman" w:hAnsi="Times New Roman" w:cs="Times New Roman"/>
        </w:rPr>
        <w:t>» та ДСТУ 7146:2020.</w:t>
      </w:r>
    </w:p>
    <w:tbl>
      <w:tblPr>
        <w:tblStyle w:val="a6"/>
        <w:tblW w:w="9693" w:type="dxa"/>
        <w:tblLayout w:type="fixed"/>
        <w:tblLook w:val="04A0"/>
      </w:tblPr>
      <w:tblGrid>
        <w:gridCol w:w="541"/>
        <w:gridCol w:w="2261"/>
        <w:gridCol w:w="2693"/>
        <w:gridCol w:w="2268"/>
        <w:gridCol w:w="938"/>
        <w:gridCol w:w="992"/>
      </w:tblGrid>
      <w:tr w:rsidR="00A0158F" w:rsidRPr="00A0158F" w:rsidTr="0071466C">
        <w:tc>
          <w:tcPr>
            <w:tcW w:w="541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61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предмету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закупі</w:t>
            </w:r>
            <w:proofErr w:type="gram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</w:t>
            </w:r>
            <w:proofErr w:type="gram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лотом</w:t>
            </w: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показників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Показники</w:t>
            </w:r>
            <w:proofErr w:type="spellEnd"/>
          </w:p>
        </w:tc>
        <w:tc>
          <w:tcPr>
            <w:tcW w:w="93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Одиниця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992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</w:p>
        </w:tc>
      </w:tr>
      <w:tr w:rsidR="00A0158F" w:rsidRPr="00A0158F" w:rsidTr="0071466C">
        <w:tc>
          <w:tcPr>
            <w:tcW w:w="54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Вугілля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кам’яне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Г2)(50-100)</w:t>
            </w: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зольність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сухий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10%</w:t>
            </w:r>
          </w:p>
        </w:tc>
        <w:tc>
          <w:tcPr>
            <w:tcW w:w="938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992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загальна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волога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10%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нижча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теплота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згорання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менше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6200 ккал/кг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54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Вугілля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кам’яне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Г1)(13-100)</w:t>
            </w: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зольність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сухий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14%</w:t>
            </w:r>
          </w:p>
        </w:tc>
        <w:tc>
          <w:tcPr>
            <w:tcW w:w="938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992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загальна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волога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12%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нижча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теплота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згорання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менше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5600 ккал/кг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54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1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Вугілля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кам’яне</w:t>
            </w:r>
            <w:proofErr w:type="spell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Г2)/А(13-100)</w:t>
            </w: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зольність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сухий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22%</w:t>
            </w:r>
          </w:p>
        </w:tc>
        <w:tc>
          <w:tcPr>
            <w:tcW w:w="938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992" w:type="dxa"/>
            <w:vMerge w:val="restart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загальна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волога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</w:t>
            </w:r>
            <w:proofErr w:type="gram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ільше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9%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54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нижча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теплота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згорання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на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робочий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стан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2268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не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менше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ніж</w:t>
            </w:r>
            <w:proofErr w:type="spellEnd"/>
            <w:r w:rsidRPr="00A015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5543 ккал/кг</w:t>
            </w:r>
          </w:p>
        </w:tc>
        <w:tc>
          <w:tcPr>
            <w:tcW w:w="938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0158F" w:rsidRPr="00A0158F" w:rsidTr="0071466C">
        <w:tc>
          <w:tcPr>
            <w:tcW w:w="8701" w:type="dxa"/>
            <w:gridSpan w:val="5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tabs>
                <w:tab w:val="center" w:pos="5104"/>
                <w:tab w:val="left" w:pos="709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15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</w:tr>
    </w:tbl>
    <w:p w:rsidR="00A0158F" w:rsidRPr="00A0158F" w:rsidRDefault="00A0158F" w:rsidP="00A0158F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A0158F">
        <w:rPr>
          <w:rFonts w:ascii="Times New Roman" w:hAnsi="Times New Roman" w:cs="Times New Roman"/>
          <w:i/>
          <w:color w:val="000000" w:themeColor="text1"/>
        </w:rPr>
        <w:t>*</w:t>
      </w:r>
      <w:proofErr w:type="spellStart"/>
      <w:proofErr w:type="gramStart"/>
      <w:r w:rsidRPr="00A0158F">
        <w:rPr>
          <w:rFonts w:ascii="Times New Roman" w:hAnsi="Times New Roman" w:cs="Times New Roman"/>
          <w:i/>
          <w:color w:val="000000" w:themeColor="text1"/>
        </w:rPr>
        <w:t>вс</w:t>
      </w:r>
      <w:proofErr w:type="gramEnd"/>
      <w:r w:rsidRPr="00A0158F">
        <w:rPr>
          <w:rFonts w:ascii="Times New Roman" w:hAnsi="Times New Roman" w:cs="Times New Roman"/>
          <w:i/>
          <w:color w:val="000000" w:themeColor="text1"/>
        </w:rPr>
        <w:t>і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посилання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на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торговельну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марку,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фірму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, патент,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конструкцію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або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тип предмета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закупівлі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джерело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його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походження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або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виробника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слід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читати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як «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або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  <w:color w:val="000000" w:themeColor="text1"/>
        </w:rPr>
        <w:t>еквівалент</w:t>
      </w:r>
      <w:proofErr w:type="spellEnd"/>
      <w:r w:rsidRPr="00A0158F">
        <w:rPr>
          <w:rFonts w:ascii="Times New Roman" w:hAnsi="Times New Roman" w:cs="Times New Roman"/>
          <w:i/>
          <w:color w:val="000000" w:themeColor="text1"/>
        </w:rPr>
        <w:t>».</w:t>
      </w:r>
    </w:p>
    <w:p w:rsidR="00A0158F" w:rsidRPr="00A0158F" w:rsidRDefault="00A0158F" w:rsidP="00A0158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158F" w:rsidRPr="00A0158F" w:rsidRDefault="00A0158F" w:rsidP="00A0158F">
      <w:pPr>
        <w:numPr>
          <w:ilvl w:val="1"/>
          <w:numId w:val="1"/>
        </w:numPr>
        <w:tabs>
          <w:tab w:val="left" w:pos="851"/>
          <w:tab w:val="left" w:pos="1276"/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 w:rsidRPr="00A0158F">
        <w:rPr>
          <w:rFonts w:ascii="Times New Roman" w:hAnsi="Times New Roman" w:cs="Times New Roman"/>
        </w:rPr>
        <w:t>Умовами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цієї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закупі</w:t>
      </w:r>
      <w:proofErr w:type="gramStart"/>
      <w:r w:rsidRPr="00A0158F">
        <w:rPr>
          <w:rFonts w:ascii="Times New Roman" w:hAnsi="Times New Roman" w:cs="Times New Roman"/>
        </w:rPr>
        <w:t>вл</w:t>
      </w:r>
      <w:proofErr w:type="gramEnd"/>
      <w:r w:rsidRPr="00A0158F">
        <w:rPr>
          <w:rFonts w:ascii="Times New Roman" w:hAnsi="Times New Roman" w:cs="Times New Roman"/>
        </w:rPr>
        <w:t>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передбачається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необхідність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застосування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заходів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щодо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безпеки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охорони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довкілля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визначені</w:t>
      </w:r>
      <w:proofErr w:type="spellEnd"/>
      <w:r w:rsidRPr="00A0158F">
        <w:rPr>
          <w:rFonts w:ascii="Times New Roman" w:hAnsi="Times New Roman" w:cs="Times New Roman"/>
        </w:rPr>
        <w:t xml:space="preserve"> Законом </w:t>
      </w:r>
      <w:proofErr w:type="spellStart"/>
      <w:r w:rsidRPr="00A0158F">
        <w:rPr>
          <w:rFonts w:ascii="Times New Roman" w:hAnsi="Times New Roman" w:cs="Times New Roman"/>
        </w:rPr>
        <w:t>України</w:t>
      </w:r>
      <w:proofErr w:type="spellEnd"/>
      <w:r w:rsidRPr="00A0158F">
        <w:rPr>
          <w:rFonts w:ascii="Times New Roman" w:hAnsi="Times New Roman" w:cs="Times New Roman"/>
        </w:rPr>
        <w:t xml:space="preserve"> «Про </w:t>
      </w:r>
      <w:proofErr w:type="spellStart"/>
      <w:r w:rsidRPr="00A0158F">
        <w:rPr>
          <w:rFonts w:ascii="Times New Roman" w:hAnsi="Times New Roman" w:cs="Times New Roman"/>
        </w:rPr>
        <w:t>охорону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навколишнього</w:t>
      </w:r>
      <w:proofErr w:type="spellEnd"/>
      <w:r w:rsidRPr="00A0158F">
        <w:rPr>
          <w:rFonts w:ascii="Times New Roman" w:hAnsi="Times New Roman" w:cs="Times New Roman"/>
        </w:rPr>
        <w:t xml:space="preserve"> природного </w:t>
      </w:r>
      <w:proofErr w:type="spellStart"/>
      <w:r w:rsidRPr="00A0158F">
        <w:rPr>
          <w:rFonts w:ascii="Times New Roman" w:hAnsi="Times New Roman" w:cs="Times New Roman"/>
        </w:rPr>
        <w:t>середовища</w:t>
      </w:r>
      <w:proofErr w:type="spellEnd"/>
      <w:r w:rsidRPr="00A0158F">
        <w:rPr>
          <w:rFonts w:ascii="Times New Roman" w:hAnsi="Times New Roman" w:cs="Times New Roman"/>
        </w:rPr>
        <w:t xml:space="preserve">» та Законом </w:t>
      </w:r>
      <w:proofErr w:type="spellStart"/>
      <w:r w:rsidRPr="00A0158F">
        <w:rPr>
          <w:rFonts w:ascii="Times New Roman" w:hAnsi="Times New Roman" w:cs="Times New Roman"/>
        </w:rPr>
        <w:t>України</w:t>
      </w:r>
      <w:proofErr w:type="spellEnd"/>
      <w:r w:rsidRPr="00A0158F">
        <w:rPr>
          <w:rFonts w:ascii="Times New Roman" w:hAnsi="Times New Roman" w:cs="Times New Roman"/>
        </w:rPr>
        <w:t xml:space="preserve"> «Про </w:t>
      </w:r>
      <w:proofErr w:type="spellStart"/>
      <w:r w:rsidRPr="00A0158F">
        <w:rPr>
          <w:rFonts w:ascii="Times New Roman" w:hAnsi="Times New Roman" w:cs="Times New Roman"/>
        </w:rPr>
        <w:t>відходи</w:t>
      </w:r>
      <w:proofErr w:type="spellEnd"/>
      <w:r w:rsidRPr="00A0158F">
        <w:rPr>
          <w:rFonts w:ascii="Times New Roman" w:hAnsi="Times New Roman" w:cs="Times New Roman"/>
        </w:rPr>
        <w:t>».</w:t>
      </w:r>
    </w:p>
    <w:p w:rsidR="00A0158F" w:rsidRPr="00A0158F" w:rsidRDefault="00A0158F" w:rsidP="00A0158F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 xml:space="preserve">Доставка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повинна </w:t>
      </w:r>
      <w:proofErr w:type="spellStart"/>
      <w:r w:rsidRPr="00A0158F">
        <w:rPr>
          <w:rFonts w:ascii="Times New Roman" w:hAnsi="Times New Roman" w:cs="Times New Roman"/>
        </w:rPr>
        <w:t>здійснюватися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 за </w:t>
      </w:r>
      <w:proofErr w:type="spellStart"/>
      <w:r w:rsidRPr="00A0158F">
        <w:rPr>
          <w:rFonts w:ascii="Times New Roman" w:hAnsi="Times New Roman" w:cs="Times New Roman"/>
        </w:rPr>
        <w:t>його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рахунок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його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власними</w:t>
      </w:r>
      <w:proofErr w:type="spellEnd"/>
      <w:r w:rsidRPr="00A0158F">
        <w:rPr>
          <w:rFonts w:ascii="Times New Roman" w:hAnsi="Times New Roman" w:cs="Times New Roman"/>
        </w:rPr>
        <w:t xml:space="preserve"> силами. Строк поставки</w:t>
      </w:r>
      <w:proofErr w:type="gramStart"/>
      <w:r w:rsidRPr="00A0158F">
        <w:rPr>
          <w:rFonts w:ascii="Times New Roman" w:hAnsi="Times New Roman" w:cs="Times New Roman"/>
        </w:rPr>
        <w:t xml:space="preserve"> –..</w:t>
      </w:r>
      <w:proofErr w:type="gramEnd"/>
      <w:r w:rsidRPr="00A0158F">
        <w:rPr>
          <w:rFonts w:ascii="Times New Roman" w:hAnsi="Times New Roman" w:cs="Times New Roman"/>
        </w:rPr>
        <w:t xml:space="preserve">до 31 </w:t>
      </w:r>
      <w:proofErr w:type="spellStart"/>
      <w:r w:rsidRPr="00A0158F">
        <w:rPr>
          <w:rFonts w:ascii="Times New Roman" w:hAnsi="Times New Roman" w:cs="Times New Roman"/>
        </w:rPr>
        <w:t>липня</w:t>
      </w:r>
      <w:proofErr w:type="spellEnd"/>
      <w:r w:rsidRPr="00A0158F">
        <w:rPr>
          <w:rFonts w:ascii="Times New Roman" w:hAnsi="Times New Roman" w:cs="Times New Roman"/>
        </w:rPr>
        <w:t xml:space="preserve"> 2023 року</w:t>
      </w:r>
      <w:r w:rsidRPr="00A0158F">
        <w:rPr>
          <w:rFonts w:ascii="Times New Roman" w:hAnsi="Times New Roman" w:cs="Times New Roman"/>
          <w:color w:val="FF0000"/>
        </w:rPr>
        <w:t>.</w:t>
      </w:r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зобов’язаний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поставляти</w:t>
      </w:r>
      <w:proofErr w:type="spellEnd"/>
      <w:r w:rsidRPr="00A0158F">
        <w:rPr>
          <w:rFonts w:ascii="Times New Roman" w:hAnsi="Times New Roman" w:cs="Times New Roman"/>
        </w:rPr>
        <w:t xml:space="preserve"> 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8F">
        <w:rPr>
          <w:rFonts w:ascii="Times New Roman" w:hAnsi="Times New Roman" w:cs="Times New Roman"/>
        </w:rPr>
        <w:t>др</w:t>
      </w:r>
      <w:proofErr w:type="gramEnd"/>
      <w:r w:rsidRPr="00A0158F">
        <w:rPr>
          <w:rFonts w:ascii="Times New Roman" w:hAnsi="Times New Roman" w:cs="Times New Roman"/>
        </w:rPr>
        <w:t>ібними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партіями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протягом</w:t>
      </w:r>
      <w:proofErr w:type="spellEnd"/>
      <w:r w:rsidRPr="00A0158F">
        <w:rPr>
          <w:rFonts w:ascii="Times New Roman" w:hAnsi="Times New Roman" w:cs="Times New Roman"/>
        </w:rPr>
        <w:t xml:space="preserve"> строку </w:t>
      </w:r>
      <w:proofErr w:type="spellStart"/>
      <w:r w:rsidRPr="00A0158F">
        <w:rPr>
          <w:rFonts w:ascii="Times New Roman" w:hAnsi="Times New Roman" w:cs="Times New Roman"/>
        </w:rPr>
        <w:t>дії</w:t>
      </w:r>
      <w:proofErr w:type="spellEnd"/>
      <w:r w:rsidRPr="00A0158F">
        <w:rPr>
          <w:rFonts w:ascii="Times New Roman" w:hAnsi="Times New Roman" w:cs="Times New Roman"/>
        </w:rPr>
        <w:t xml:space="preserve"> договору, поставка </w:t>
      </w:r>
      <w:proofErr w:type="spellStart"/>
      <w:r w:rsidRPr="00A0158F">
        <w:rPr>
          <w:rFonts w:ascii="Times New Roman" w:hAnsi="Times New Roman" w:cs="Times New Roman"/>
        </w:rPr>
        <w:t>кожної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окремої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партії</w:t>
      </w:r>
      <w:proofErr w:type="spellEnd"/>
      <w:r w:rsidRPr="00A0158F">
        <w:rPr>
          <w:rFonts w:ascii="Times New Roman" w:hAnsi="Times New Roman" w:cs="Times New Roman"/>
        </w:rPr>
        <w:t xml:space="preserve"> повинна </w:t>
      </w:r>
      <w:proofErr w:type="spellStart"/>
      <w:r w:rsidRPr="00A0158F">
        <w:rPr>
          <w:rFonts w:ascii="Times New Roman" w:hAnsi="Times New Roman" w:cs="Times New Roman"/>
        </w:rPr>
        <w:t>здійснюватися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впродовж</w:t>
      </w:r>
      <w:proofErr w:type="spellEnd"/>
      <w:r w:rsidRPr="00A0158F">
        <w:rPr>
          <w:rFonts w:ascii="Times New Roman" w:hAnsi="Times New Roman" w:cs="Times New Roman"/>
        </w:rPr>
        <w:t xml:space="preserve"> 3 (</w:t>
      </w:r>
      <w:proofErr w:type="spellStart"/>
      <w:r w:rsidRPr="00A0158F">
        <w:rPr>
          <w:rFonts w:ascii="Times New Roman" w:hAnsi="Times New Roman" w:cs="Times New Roman"/>
        </w:rPr>
        <w:t>трьох</w:t>
      </w:r>
      <w:proofErr w:type="spellEnd"/>
      <w:r w:rsidRPr="00A0158F">
        <w:rPr>
          <w:rFonts w:ascii="Times New Roman" w:hAnsi="Times New Roman" w:cs="Times New Roman"/>
        </w:rPr>
        <w:t xml:space="preserve">) </w:t>
      </w:r>
      <w:proofErr w:type="spellStart"/>
      <w:r w:rsidRPr="00A0158F">
        <w:rPr>
          <w:rFonts w:ascii="Times New Roman" w:hAnsi="Times New Roman" w:cs="Times New Roman"/>
        </w:rPr>
        <w:t>днів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одержання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письмової</w:t>
      </w:r>
      <w:proofErr w:type="spellEnd"/>
      <w:r w:rsidRPr="00A0158F">
        <w:rPr>
          <w:rFonts w:ascii="Times New Roman" w:hAnsi="Times New Roman" w:cs="Times New Roman"/>
        </w:rPr>
        <w:t xml:space="preserve"> (</w:t>
      </w:r>
      <w:proofErr w:type="spellStart"/>
      <w:r w:rsidRPr="00A0158F">
        <w:rPr>
          <w:rFonts w:ascii="Times New Roman" w:hAnsi="Times New Roman" w:cs="Times New Roman"/>
        </w:rPr>
        <w:t>телефаксної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lastRenderedPageBreak/>
        <w:t>або</w:t>
      </w:r>
      <w:proofErr w:type="spellEnd"/>
      <w:r w:rsidRPr="00A0158F">
        <w:rPr>
          <w:rFonts w:ascii="Times New Roman" w:hAnsi="Times New Roman" w:cs="Times New Roman"/>
        </w:rPr>
        <w:t xml:space="preserve"> через </w:t>
      </w:r>
      <w:proofErr w:type="spellStart"/>
      <w:r w:rsidRPr="00A0158F">
        <w:rPr>
          <w:rFonts w:ascii="Times New Roman" w:hAnsi="Times New Roman" w:cs="Times New Roman"/>
        </w:rPr>
        <w:t>e-mail</w:t>
      </w:r>
      <w:proofErr w:type="spellEnd"/>
      <w:r w:rsidRPr="00A0158F">
        <w:rPr>
          <w:rFonts w:ascii="Times New Roman" w:hAnsi="Times New Roman" w:cs="Times New Roman"/>
        </w:rPr>
        <w:t xml:space="preserve">) заявки в </w:t>
      </w:r>
      <w:proofErr w:type="spellStart"/>
      <w:r w:rsidRPr="00A0158F">
        <w:rPr>
          <w:rFonts w:ascii="Times New Roman" w:hAnsi="Times New Roman" w:cs="Times New Roman"/>
        </w:rPr>
        <w:t>асортименті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обсязі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зазначеному</w:t>
      </w:r>
      <w:proofErr w:type="spell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заявці</w:t>
      </w:r>
      <w:proofErr w:type="spellEnd"/>
      <w:r w:rsidRPr="00A0158F">
        <w:rPr>
          <w:rFonts w:ascii="Times New Roman" w:hAnsi="Times New Roman" w:cs="Times New Roman"/>
        </w:rPr>
        <w:t xml:space="preserve">. </w:t>
      </w:r>
      <w:proofErr w:type="spellStart"/>
      <w:r w:rsidRPr="00A0158F">
        <w:rPr>
          <w:rFonts w:ascii="Times New Roman" w:hAnsi="Times New Roman" w:cs="Times New Roman"/>
        </w:rPr>
        <w:t>Постачання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повинно </w:t>
      </w:r>
      <w:proofErr w:type="spellStart"/>
      <w:r w:rsidRPr="00A0158F">
        <w:rPr>
          <w:rFonts w:ascii="Times New Roman" w:hAnsi="Times New Roman" w:cs="Times New Roman"/>
        </w:rPr>
        <w:t>відбуватися</w:t>
      </w:r>
      <w:proofErr w:type="spell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світлий</w:t>
      </w:r>
      <w:proofErr w:type="spellEnd"/>
      <w:r w:rsidRPr="00A0158F">
        <w:rPr>
          <w:rFonts w:ascii="Times New Roman" w:hAnsi="Times New Roman" w:cs="Times New Roman"/>
        </w:rPr>
        <w:t xml:space="preserve"> час </w:t>
      </w:r>
      <w:proofErr w:type="spellStart"/>
      <w:r w:rsidRPr="00A0158F">
        <w:rPr>
          <w:rFonts w:ascii="Times New Roman" w:hAnsi="Times New Roman" w:cs="Times New Roman"/>
        </w:rPr>
        <w:t>доби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зважування</w:t>
      </w:r>
      <w:proofErr w:type="spellEnd"/>
      <w:r w:rsidRPr="00A0158F">
        <w:rPr>
          <w:rFonts w:ascii="Times New Roman" w:hAnsi="Times New Roman" w:cs="Times New Roman"/>
        </w:rPr>
        <w:t xml:space="preserve"> – в </w:t>
      </w:r>
      <w:proofErr w:type="spellStart"/>
      <w:r w:rsidRPr="00A0158F">
        <w:rPr>
          <w:rFonts w:ascii="Times New Roman" w:hAnsi="Times New Roman" w:cs="Times New Roman"/>
        </w:rPr>
        <w:t>робочі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дні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</w:t>
      </w:r>
      <w:proofErr w:type="spellEnd"/>
      <w:r w:rsidRPr="00A0158F">
        <w:rPr>
          <w:rFonts w:ascii="Times New Roman" w:hAnsi="Times New Roman" w:cs="Times New Roman"/>
        </w:rPr>
        <w:t xml:space="preserve"> 7 до 13 годин в </w:t>
      </w:r>
      <w:proofErr w:type="spellStart"/>
      <w:r w:rsidRPr="00A0158F">
        <w:rPr>
          <w:rFonts w:ascii="Times New Roman" w:hAnsi="Times New Roman" w:cs="Times New Roman"/>
        </w:rPr>
        <w:t>присутності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представника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замовника</w:t>
      </w:r>
      <w:proofErr w:type="spellEnd"/>
      <w:r w:rsidRPr="00A0158F">
        <w:rPr>
          <w:rFonts w:ascii="Times New Roman" w:hAnsi="Times New Roman" w:cs="Times New Roman"/>
        </w:rPr>
        <w:t>.</w:t>
      </w:r>
    </w:p>
    <w:p w:rsidR="00A0158F" w:rsidRPr="00A0158F" w:rsidRDefault="00A0158F" w:rsidP="00A0158F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ab/>
      </w:r>
    </w:p>
    <w:p w:rsidR="00A0158F" w:rsidRPr="00A0158F" w:rsidRDefault="00A0158F" w:rsidP="00A0158F">
      <w:pPr>
        <w:pStyle w:val="LO-normal"/>
        <w:widowControl w:val="0"/>
        <w:spacing w:line="240" w:lineRule="auto"/>
        <w:ind w:right="-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15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поставки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2126"/>
        <w:gridCol w:w="3969"/>
        <w:gridCol w:w="992"/>
        <w:gridCol w:w="992"/>
        <w:gridCol w:w="1134"/>
      </w:tblGrid>
      <w:tr w:rsidR="00A0158F" w:rsidRPr="00A0158F" w:rsidTr="0071466C">
        <w:tc>
          <w:tcPr>
            <w:tcW w:w="534" w:type="dxa"/>
            <w:vMerge w:val="restart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969" w:type="dxa"/>
            <w:vMerge w:val="restart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118" w:type="dxa"/>
            <w:gridSpan w:val="3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</w:tr>
      <w:tr w:rsidR="00A0158F" w:rsidRPr="00A0158F" w:rsidTr="0071466C">
        <w:tc>
          <w:tcPr>
            <w:tcW w:w="534" w:type="dxa"/>
            <w:vMerge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Г(Г2) </w:t>
            </w:r>
          </w:p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(50-100)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Г(Г1)</w:t>
            </w:r>
          </w:p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(13-100)</w:t>
            </w:r>
          </w:p>
        </w:tc>
        <w:tc>
          <w:tcPr>
            <w:tcW w:w="11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Г(Г2)А</w:t>
            </w:r>
          </w:p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(13-100)</w:t>
            </w:r>
          </w:p>
        </w:tc>
      </w:tr>
      <w:tr w:rsidR="00A0158F" w:rsidRPr="00A0158F" w:rsidTr="0071466C">
        <w:tc>
          <w:tcPr>
            <w:tcW w:w="5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3969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lang w:val="uk-UA"/>
              </w:rPr>
              <w:t>Кіровоградська обл., Олександрійський р-н., с. Олександрівка, вул.. Зелена, буд. 21А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</w:p>
        </w:tc>
      </w:tr>
      <w:tr w:rsidR="00A0158F" w:rsidRPr="00A0158F" w:rsidTr="0071466C">
        <w:tc>
          <w:tcPr>
            <w:tcW w:w="5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Улянівський</w:t>
            </w:r>
            <w:proofErr w:type="spellEnd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3969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Кіровоградська обл., Олександрійський р-н., с. </w:t>
            </w:r>
            <w:proofErr w:type="spellStart"/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>Улянівка</w:t>
            </w:r>
            <w:proofErr w:type="spellEnd"/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>, вул.. Шкільна, буд. 4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0158F" w:rsidRPr="00A0158F" w:rsidTr="0071466C">
        <w:tc>
          <w:tcPr>
            <w:tcW w:w="5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Добронадіївський</w:t>
            </w:r>
            <w:proofErr w:type="spellEnd"/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3969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Кіровоградська обл., Олександрійський р-н., с. </w:t>
            </w:r>
            <w:proofErr w:type="spellStart"/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>Добронадіївка</w:t>
            </w:r>
            <w:proofErr w:type="spellEnd"/>
            <w:r w:rsidRPr="00A0158F">
              <w:rPr>
                <w:rFonts w:ascii="Times New Roman" w:hAnsi="Times New Roman" w:cs="Times New Roman"/>
                <w:color w:val="000000" w:themeColor="text1"/>
                <w:lang w:val="uk-UA"/>
              </w:rPr>
              <w:t>, вул..Шкільна, буд. 25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0158F" w:rsidRPr="00A0158F" w:rsidTr="0071466C">
        <w:tc>
          <w:tcPr>
            <w:tcW w:w="6629" w:type="dxa"/>
            <w:gridSpan w:val="3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A0158F" w:rsidRPr="00A0158F" w:rsidRDefault="00A0158F" w:rsidP="00A0158F">
            <w:pPr>
              <w:pStyle w:val="LO-normal"/>
              <w:widowControl w:val="0"/>
              <w:spacing w:line="240" w:lineRule="auto"/>
              <w:ind w:right="-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0158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</w:p>
        </w:tc>
      </w:tr>
    </w:tbl>
    <w:p w:rsidR="00A0158F" w:rsidRPr="00A0158F" w:rsidRDefault="00A0158F" w:rsidP="00A0158F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158F" w:rsidRPr="00A0158F" w:rsidRDefault="00A0158F" w:rsidP="00A0158F">
      <w:pPr>
        <w:numPr>
          <w:ilvl w:val="1"/>
          <w:numId w:val="1"/>
        </w:numPr>
        <w:tabs>
          <w:tab w:val="left" w:pos="851"/>
          <w:tab w:val="left" w:pos="1276"/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 w:rsidRPr="00A0158F">
        <w:rPr>
          <w:rFonts w:ascii="Times New Roman" w:hAnsi="Times New Roman" w:cs="Times New Roman"/>
        </w:rPr>
        <w:t>Кожна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партія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поставляється</w:t>
      </w:r>
      <w:proofErr w:type="spellEnd"/>
      <w:r w:rsidRPr="00A0158F">
        <w:rPr>
          <w:rFonts w:ascii="Times New Roman" w:hAnsi="Times New Roman" w:cs="Times New Roman"/>
        </w:rPr>
        <w:t xml:space="preserve">, повинна </w:t>
      </w:r>
      <w:proofErr w:type="spellStart"/>
      <w:r w:rsidRPr="00A0158F">
        <w:rPr>
          <w:rFonts w:ascii="Times New Roman" w:hAnsi="Times New Roman" w:cs="Times New Roman"/>
        </w:rPr>
        <w:t>супроводжуватися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посвідченням</w:t>
      </w:r>
      <w:proofErr w:type="spellEnd"/>
      <w:r w:rsidRPr="00A0158F">
        <w:rPr>
          <w:rFonts w:ascii="Times New Roman" w:hAnsi="Times New Roman" w:cs="Times New Roman"/>
        </w:rPr>
        <w:t xml:space="preserve"> про </w:t>
      </w:r>
      <w:proofErr w:type="spellStart"/>
      <w:r w:rsidRPr="00A0158F">
        <w:rPr>
          <w:rFonts w:ascii="Times New Roman" w:hAnsi="Times New Roman" w:cs="Times New Roman"/>
        </w:rPr>
        <w:t>якість</w:t>
      </w:r>
      <w:proofErr w:type="spellEnd"/>
      <w:r w:rsidRPr="00A0158F">
        <w:rPr>
          <w:rFonts w:ascii="Times New Roman" w:hAnsi="Times New Roman" w:cs="Times New Roman"/>
        </w:rPr>
        <w:t xml:space="preserve">, яке </w:t>
      </w:r>
      <w:proofErr w:type="spellStart"/>
      <w:proofErr w:type="gramStart"/>
      <w:r w:rsidRPr="00A0158F">
        <w:rPr>
          <w:rFonts w:ascii="Times New Roman" w:hAnsi="Times New Roman" w:cs="Times New Roman"/>
        </w:rPr>
        <w:t>п</w:t>
      </w:r>
      <w:proofErr w:type="gramEnd"/>
      <w:r w:rsidRPr="00A0158F">
        <w:rPr>
          <w:rFonts w:ascii="Times New Roman" w:hAnsi="Times New Roman" w:cs="Times New Roman"/>
        </w:rPr>
        <w:t>ідтверджує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якість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>.</w:t>
      </w:r>
    </w:p>
    <w:p w:rsidR="00A0158F" w:rsidRPr="00A0158F" w:rsidRDefault="00A0158F" w:rsidP="00A0158F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 xml:space="preserve">У </w:t>
      </w:r>
      <w:proofErr w:type="spellStart"/>
      <w:r w:rsidRPr="00A0158F">
        <w:rPr>
          <w:rFonts w:ascii="Times New Roman" w:hAnsi="Times New Roman" w:cs="Times New Roman"/>
        </w:rPr>
        <w:t>складі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пропозиції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учасника</w:t>
      </w:r>
      <w:proofErr w:type="spellEnd"/>
      <w:r w:rsidRPr="00A0158F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A0158F">
        <w:rPr>
          <w:rFonts w:ascii="Times New Roman" w:hAnsi="Times New Roman" w:cs="Times New Roman"/>
        </w:rPr>
        <w:t>п</w:t>
      </w:r>
      <w:proofErr w:type="gramEnd"/>
      <w:r w:rsidRPr="00A0158F">
        <w:rPr>
          <w:rFonts w:ascii="Times New Roman" w:hAnsi="Times New Roman" w:cs="Times New Roman"/>
        </w:rPr>
        <w:t>ідтвердження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відповідності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запропонованого</w:t>
      </w:r>
      <w:proofErr w:type="spellEnd"/>
      <w:r w:rsidRPr="00A0158F">
        <w:rPr>
          <w:rFonts w:ascii="Times New Roman" w:hAnsi="Times New Roman" w:cs="Times New Roman"/>
        </w:rPr>
        <w:t xml:space="preserve"> товару </w:t>
      </w:r>
      <w:proofErr w:type="spellStart"/>
      <w:r w:rsidRPr="00A0158F">
        <w:rPr>
          <w:rFonts w:ascii="Times New Roman" w:hAnsi="Times New Roman" w:cs="Times New Roman"/>
        </w:rPr>
        <w:t>технічним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якісним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кількісним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іншим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вимогам</w:t>
      </w:r>
      <w:proofErr w:type="spellEnd"/>
      <w:r w:rsidRPr="00A0158F">
        <w:rPr>
          <w:rFonts w:ascii="Times New Roman" w:hAnsi="Times New Roman" w:cs="Times New Roman"/>
        </w:rPr>
        <w:t xml:space="preserve"> до предмета </w:t>
      </w:r>
      <w:proofErr w:type="spellStart"/>
      <w:r w:rsidRPr="00A0158F">
        <w:rPr>
          <w:rFonts w:ascii="Times New Roman" w:hAnsi="Times New Roman" w:cs="Times New Roman"/>
        </w:rPr>
        <w:t>закупівлі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повинні</w:t>
      </w:r>
      <w:proofErr w:type="spellEnd"/>
      <w:r w:rsidRPr="00A0158F">
        <w:rPr>
          <w:rFonts w:ascii="Times New Roman" w:hAnsi="Times New Roman" w:cs="Times New Roman"/>
        </w:rPr>
        <w:t xml:space="preserve"> бути:</w:t>
      </w:r>
    </w:p>
    <w:p w:rsidR="00A0158F" w:rsidRPr="00A0158F" w:rsidRDefault="00A0158F" w:rsidP="00A015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  <w:color w:val="000000"/>
        </w:rPr>
        <w:t xml:space="preserve">2.1. </w:t>
      </w:r>
      <w:proofErr w:type="spellStart"/>
      <w:r w:rsidRPr="00A0158F">
        <w:rPr>
          <w:rFonts w:ascii="Times New Roman" w:hAnsi="Times New Roman" w:cs="Times New Roman"/>
          <w:color w:val="000000"/>
        </w:rPr>
        <w:t>Довідка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158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A0158F">
        <w:rPr>
          <w:rFonts w:ascii="Times New Roman" w:hAnsi="Times New Roman" w:cs="Times New Roman"/>
          <w:color w:val="000000"/>
        </w:rPr>
        <w:t>дов</w:t>
      </w:r>
      <w:proofErr w:type="gramEnd"/>
      <w:r w:rsidRPr="00A0158F">
        <w:rPr>
          <w:rFonts w:ascii="Times New Roman" w:hAnsi="Times New Roman" w:cs="Times New Roman"/>
          <w:color w:val="000000"/>
        </w:rPr>
        <w:t>ільній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формі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із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зазначенням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стосовно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запропонованого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товару, </w:t>
      </w:r>
      <w:proofErr w:type="spellStart"/>
      <w:r w:rsidRPr="00A0158F">
        <w:rPr>
          <w:rFonts w:ascii="Times New Roman" w:hAnsi="Times New Roman" w:cs="Times New Roman"/>
          <w:color w:val="000000"/>
        </w:rPr>
        <w:t>його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кількості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</w:rPr>
        <w:t>технічних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і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якісних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характеристик*: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зольність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на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сухий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стан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палива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загальна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волога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на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робочий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стан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палива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нижча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теплота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згорання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на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робочий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 стан </w:t>
      </w:r>
      <w:proofErr w:type="spellStart"/>
      <w:r w:rsidRPr="00A0158F">
        <w:rPr>
          <w:rFonts w:ascii="Times New Roman" w:hAnsi="Times New Roman" w:cs="Times New Roman"/>
          <w:color w:val="000000"/>
          <w:lang w:eastAsia="zh-CN"/>
        </w:rPr>
        <w:t>палива</w:t>
      </w:r>
      <w:proofErr w:type="spellEnd"/>
      <w:r w:rsidRPr="00A0158F">
        <w:rPr>
          <w:rFonts w:ascii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вихід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летких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речовин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показники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якості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характеризують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безпечність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вугілля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включаючи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посилання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відповідні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нормативні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документи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вимогам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яких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відповідає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вугілля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буде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постачатись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згідно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умов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даної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закупі</w:t>
      </w:r>
      <w:proofErr w:type="gram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вл</w:t>
      </w:r>
      <w:proofErr w:type="gram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а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також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інформацію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про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походження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  <w:shd w:val="clear" w:color="auto" w:fill="FFFFFF"/>
        </w:rPr>
        <w:t>вугілля</w:t>
      </w:r>
      <w:proofErr w:type="spellEnd"/>
      <w:r w:rsidRPr="00A0158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інформацію</w:t>
      </w:r>
      <w:proofErr w:type="spellEnd"/>
      <w:r w:rsidRPr="00A0158F">
        <w:rPr>
          <w:rFonts w:ascii="Times New Roman" w:hAnsi="Times New Roman" w:cs="Times New Roman"/>
        </w:rPr>
        <w:t xml:space="preserve"> про </w:t>
      </w:r>
      <w:proofErr w:type="spellStart"/>
      <w:r w:rsidRPr="00A0158F">
        <w:rPr>
          <w:rFonts w:ascii="Times New Roman" w:hAnsi="Times New Roman" w:cs="Times New Roman"/>
        </w:rPr>
        <w:t>виробника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якому</w:t>
      </w:r>
      <w:proofErr w:type="spellEnd"/>
      <w:r w:rsidRPr="00A0158F">
        <w:rPr>
          <w:rFonts w:ascii="Times New Roman" w:hAnsi="Times New Roman" w:cs="Times New Roman"/>
        </w:rPr>
        <w:t xml:space="preserve"> видано </w:t>
      </w:r>
      <w:proofErr w:type="spellStart"/>
      <w:r w:rsidRPr="00A0158F">
        <w:rPr>
          <w:rFonts w:ascii="Times New Roman" w:hAnsi="Times New Roman" w:cs="Times New Roman"/>
        </w:rPr>
        <w:t>сертифікат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генетичних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технологічних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якісних</w:t>
      </w:r>
      <w:proofErr w:type="spellEnd"/>
      <w:r w:rsidRPr="00A0158F">
        <w:rPr>
          <w:rFonts w:ascii="Times New Roman" w:hAnsi="Times New Roman" w:cs="Times New Roman"/>
        </w:rPr>
        <w:t xml:space="preserve"> характеристик, а </w:t>
      </w:r>
      <w:proofErr w:type="spellStart"/>
      <w:r w:rsidRPr="00A0158F">
        <w:rPr>
          <w:rFonts w:ascii="Times New Roman" w:hAnsi="Times New Roman" w:cs="Times New Roman"/>
        </w:rPr>
        <w:t>також</w:t>
      </w:r>
      <w:proofErr w:type="spellEnd"/>
      <w:r w:rsidRPr="00A0158F">
        <w:rPr>
          <w:rFonts w:ascii="Times New Roman" w:hAnsi="Times New Roman" w:cs="Times New Roman"/>
        </w:rPr>
        <w:t xml:space="preserve"> дату та номер такого </w:t>
      </w:r>
      <w:proofErr w:type="spellStart"/>
      <w:r w:rsidRPr="00A0158F">
        <w:rPr>
          <w:rFonts w:ascii="Times New Roman" w:hAnsi="Times New Roman" w:cs="Times New Roman"/>
        </w:rPr>
        <w:t>сертифікату</w:t>
      </w:r>
      <w:proofErr w:type="spellEnd"/>
      <w:r w:rsidRPr="00A0158F">
        <w:rPr>
          <w:rFonts w:ascii="Times New Roman" w:hAnsi="Times New Roman" w:cs="Times New Roman"/>
        </w:rPr>
        <w:t xml:space="preserve">. </w:t>
      </w:r>
    </w:p>
    <w:p w:rsidR="00A0158F" w:rsidRPr="00A0158F" w:rsidRDefault="00A0158F" w:rsidP="00A0158F">
      <w:pPr>
        <w:widowControl w:val="0"/>
        <w:tabs>
          <w:tab w:val="left" w:pos="1276"/>
          <w:tab w:val="left" w:pos="663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A0158F">
        <w:rPr>
          <w:rFonts w:ascii="Times New Roman" w:hAnsi="Times New Roman" w:cs="Times New Roman"/>
          <w:i/>
        </w:rPr>
        <w:t>*</w:t>
      </w:r>
      <w:proofErr w:type="spellStart"/>
      <w:r w:rsidRPr="00A0158F">
        <w:rPr>
          <w:rFonts w:ascii="Times New Roman" w:hAnsi="Times New Roman" w:cs="Times New Roman"/>
          <w:i/>
        </w:rPr>
        <w:t>технічні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і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якісні</w:t>
      </w:r>
      <w:proofErr w:type="spellEnd"/>
      <w:r w:rsidRPr="00A0158F">
        <w:rPr>
          <w:rFonts w:ascii="Times New Roman" w:hAnsi="Times New Roman" w:cs="Times New Roman"/>
          <w:i/>
        </w:rPr>
        <w:t xml:space="preserve"> характеристики </w:t>
      </w:r>
      <w:proofErr w:type="spellStart"/>
      <w:r w:rsidRPr="00A0158F">
        <w:rPr>
          <w:rFonts w:ascii="Times New Roman" w:hAnsi="Times New Roman" w:cs="Times New Roman"/>
          <w:i/>
        </w:rPr>
        <w:t>зазначаються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відповідно</w:t>
      </w:r>
      <w:proofErr w:type="spellEnd"/>
      <w:r w:rsidRPr="00A0158F">
        <w:rPr>
          <w:rFonts w:ascii="Times New Roman" w:hAnsi="Times New Roman" w:cs="Times New Roman"/>
          <w:i/>
        </w:rPr>
        <w:t xml:space="preserve"> до </w:t>
      </w:r>
      <w:proofErr w:type="spellStart"/>
      <w:r w:rsidRPr="00A0158F">
        <w:rPr>
          <w:rFonts w:ascii="Times New Roman" w:hAnsi="Times New Roman" w:cs="Times New Roman"/>
          <w:i/>
        </w:rPr>
        <w:t>сертифікату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генетичних</w:t>
      </w:r>
      <w:proofErr w:type="spellEnd"/>
      <w:r w:rsidRPr="00A0158F">
        <w:rPr>
          <w:rFonts w:ascii="Times New Roman" w:hAnsi="Times New Roman" w:cs="Times New Roman"/>
          <w:i/>
        </w:rPr>
        <w:t xml:space="preserve">, </w:t>
      </w:r>
      <w:proofErr w:type="spellStart"/>
      <w:r w:rsidRPr="00A0158F">
        <w:rPr>
          <w:rFonts w:ascii="Times New Roman" w:hAnsi="Times New Roman" w:cs="Times New Roman"/>
          <w:i/>
        </w:rPr>
        <w:t>технологічних</w:t>
      </w:r>
      <w:proofErr w:type="spellEnd"/>
      <w:r w:rsidRPr="00A0158F">
        <w:rPr>
          <w:rFonts w:ascii="Times New Roman" w:hAnsi="Times New Roman" w:cs="Times New Roman"/>
          <w:i/>
        </w:rPr>
        <w:t xml:space="preserve"> та </w:t>
      </w:r>
      <w:proofErr w:type="spellStart"/>
      <w:r w:rsidRPr="00A0158F">
        <w:rPr>
          <w:rFonts w:ascii="Times New Roman" w:hAnsi="Times New Roman" w:cs="Times New Roman"/>
          <w:i/>
        </w:rPr>
        <w:t>якісних</w:t>
      </w:r>
      <w:proofErr w:type="spellEnd"/>
      <w:r w:rsidRPr="00A0158F">
        <w:rPr>
          <w:rFonts w:ascii="Times New Roman" w:hAnsi="Times New Roman" w:cs="Times New Roman"/>
          <w:i/>
        </w:rPr>
        <w:t xml:space="preserve"> характеристик, </w:t>
      </w:r>
      <w:proofErr w:type="spellStart"/>
      <w:r w:rsidRPr="00A0158F">
        <w:rPr>
          <w:rFonts w:ascii="Times New Roman" w:hAnsi="Times New Roman" w:cs="Times New Roman"/>
          <w:i/>
        </w:rPr>
        <w:t>що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наданий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gramStart"/>
      <w:r w:rsidRPr="00A0158F">
        <w:rPr>
          <w:rFonts w:ascii="Times New Roman" w:hAnsi="Times New Roman" w:cs="Times New Roman"/>
          <w:i/>
        </w:rPr>
        <w:t>у</w:t>
      </w:r>
      <w:proofErr w:type="gram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складі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тендерної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пропозиції</w:t>
      </w:r>
      <w:proofErr w:type="spellEnd"/>
      <w:r w:rsidRPr="00A0158F">
        <w:rPr>
          <w:rFonts w:ascii="Times New Roman" w:hAnsi="Times New Roman" w:cs="Times New Roman"/>
          <w:i/>
        </w:rPr>
        <w:t>.</w:t>
      </w:r>
      <w:r w:rsidRPr="00A015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0158F" w:rsidRPr="00A0158F" w:rsidRDefault="00A0158F" w:rsidP="00A0158F">
      <w:pPr>
        <w:widowControl w:val="0"/>
        <w:tabs>
          <w:tab w:val="left" w:pos="1276"/>
          <w:tab w:val="left" w:pos="663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 xml:space="preserve">2.2. </w:t>
      </w:r>
      <w:proofErr w:type="spellStart"/>
      <w:r w:rsidRPr="00A0158F">
        <w:rPr>
          <w:rFonts w:ascii="Times New Roman" w:hAnsi="Times New Roman" w:cs="Times New Roman"/>
        </w:rPr>
        <w:t>Завірена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належним</w:t>
      </w:r>
      <w:proofErr w:type="spellEnd"/>
      <w:r w:rsidRPr="00A0158F">
        <w:rPr>
          <w:rFonts w:ascii="Times New Roman" w:hAnsi="Times New Roman" w:cs="Times New Roman"/>
        </w:rPr>
        <w:t xml:space="preserve"> чином </w:t>
      </w:r>
      <w:proofErr w:type="spellStart"/>
      <w:r w:rsidRPr="00A0158F">
        <w:rPr>
          <w:rFonts w:ascii="Times New Roman" w:hAnsi="Times New Roman" w:cs="Times New Roman"/>
        </w:rPr>
        <w:t>копія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сертифікату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генетичних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технологічних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якісних</w:t>
      </w:r>
      <w:proofErr w:type="spellEnd"/>
      <w:r w:rsidRPr="00A0158F">
        <w:rPr>
          <w:rFonts w:ascii="Times New Roman" w:hAnsi="Times New Roman" w:cs="Times New Roman"/>
        </w:rPr>
        <w:t xml:space="preserve"> характеристик, </w:t>
      </w:r>
      <w:proofErr w:type="spellStart"/>
      <w:r w:rsidRPr="00A0158F">
        <w:rPr>
          <w:rFonts w:ascii="Times New Roman" w:hAnsi="Times New Roman" w:cs="Times New Roman"/>
        </w:rPr>
        <w:t>видані</w:t>
      </w:r>
      <w:proofErr w:type="spellEnd"/>
      <w:r w:rsidRPr="00A0158F">
        <w:rPr>
          <w:rFonts w:ascii="Times New Roman" w:hAnsi="Times New Roman" w:cs="Times New Roman"/>
        </w:rPr>
        <w:t xml:space="preserve"> ТК-92 «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та </w:t>
      </w:r>
      <w:proofErr w:type="spellStart"/>
      <w:r w:rsidRPr="00A0158F">
        <w:rPr>
          <w:rFonts w:ascii="Times New Roman" w:hAnsi="Times New Roman" w:cs="Times New Roman"/>
        </w:rPr>
        <w:t>продукти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його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перероблення</w:t>
      </w:r>
      <w:proofErr w:type="spellEnd"/>
      <w:r w:rsidRPr="00A0158F">
        <w:rPr>
          <w:rFonts w:ascii="Times New Roman" w:hAnsi="Times New Roman" w:cs="Times New Roman"/>
        </w:rPr>
        <w:t xml:space="preserve">» </w:t>
      </w:r>
      <w:proofErr w:type="spellStart"/>
      <w:r w:rsidRPr="00A0158F">
        <w:rPr>
          <w:rFonts w:ascii="Times New Roman" w:hAnsi="Times New Roman" w:cs="Times New Roman"/>
        </w:rPr>
        <w:t>або</w:t>
      </w:r>
      <w:proofErr w:type="spellEnd"/>
      <w:r w:rsidRPr="00A0158F">
        <w:rPr>
          <w:rFonts w:ascii="Times New Roman" w:hAnsi="Times New Roman" w:cs="Times New Roman"/>
        </w:rPr>
        <w:t xml:space="preserve"> ВП «УКРНДІВУГЛЕЗБАГАЧЕННЯ» ДП «НТЦ «ВУГЛЕІННОВАЦІЯ» </w:t>
      </w:r>
      <w:proofErr w:type="spellStart"/>
      <w:r w:rsidRPr="00A0158F">
        <w:rPr>
          <w:rFonts w:ascii="Times New Roman" w:hAnsi="Times New Roman" w:cs="Times New Roman"/>
        </w:rPr>
        <w:t>виробнику</w:t>
      </w:r>
      <w:proofErr w:type="spellEnd"/>
      <w:r w:rsidRPr="00A0158F">
        <w:rPr>
          <w:rFonts w:ascii="Times New Roman" w:hAnsi="Times New Roman" w:cs="Times New Roman"/>
        </w:rPr>
        <w:t xml:space="preserve">, на </w:t>
      </w:r>
      <w:proofErr w:type="spellStart"/>
      <w:r w:rsidRPr="00A0158F">
        <w:rPr>
          <w:rFonts w:ascii="Times New Roman" w:hAnsi="Times New Roman" w:cs="Times New Roman"/>
        </w:rPr>
        <w:t>визначені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в </w:t>
      </w:r>
      <w:proofErr w:type="spellStart"/>
      <w:r w:rsidRPr="00A0158F">
        <w:rPr>
          <w:rFonts w:ascii="Times New Roman" w:hAnsi="Times New Roman" w:cs="Times New Roman"/>
        </w:rPr>
        <w:t>цьому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тендері</w:t>
      </w:r>
      <w:proofErr w:type="spellEnd"/>
      <w:r w:rsidRPr="00A0158F">
        <w:rPr>
          <w:rFonts w:ascii="Times New Roman" w:hAnsi="Times New Roman" w:cs="Times New Roman"/>
        </w:rPr>
        <w:t xml:space="preserve"> марок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. </w:t>
      </w:r>
      <w:proofErr w:type="spellStart"/>
      <w:r w:rsidRPr="00A0158F">
        <w:rPr>
          <w:rFonts w:ascii="Times New Roman" w:hAnsi="Times New Roman" w:cs="Times New Roman"/>
        </w:rPr>
        <w:t>Якщо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</w:t>
      </w:r>
      <w:proofErr w:type="spellEnd"/>
      <w:r w:rsidRPr="00A0158F">
        <w:rPr>
          <w:rFonts w:ascii="Times New Roman" w:hAnsi="Times New Roman" w:cs="Times New Roman"/>
        </w:rPr>
        <w:t xml:space="preserve"> не </w:t>
      </w:r>
      <w:proofErr w:type="spellStart"/>
      <w:r w:rsidRPr="00A0158F">
        <w:rPr>
          <w:rFonts w:ascii="Times New Roman" w:hAnsi="Times New Roman" w:cs="Times New Roman"/>
        </w:rPr>
        <w:t>є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власником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зазначених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документів</w:t>
      </w:r>
      <w:proofErr w:type="spellEnd"/>
      <w:r w:rsidRPr="00A0158F">
        <w:rPr>
          <w:rFonts w:ascii="Times New Roman" w:hAnsi="Times New Roman" w:cs="Times New Roman"/>
        </w:rPr>
        <w:t xml:space="preserve">, у </w:t>
      </w:r>
      <w:proofErr w:type="spellStart"/>
      <w:r w:rsidRPr="00A0158F">
        <w:rPr>
          <w:rFonts w:ascii="Times New Roman" w:hAnsi="Times New Roman" w:cs="Times New Roman"/>
        </w:rPr>
        <w:t>складі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пропозиції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такий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</w:t>
      </w:r>
      <w:proofErr w:type="spellEnd"/>
      <w:r w:rsidRPr="00A0158F">
        <w:rPr>
          <w:rFonts w:ascii="Times New Roman" w:hAnsi="Times New Roman" w:cs="Times New Roman"/>
        </w:rPr>
        <w:t xml:space="preserve"> повинен </w:t>
      </w:r>
      <w:proofErr w:type="spellStart"/>
      <w:r w:rsidRPr="00A0158F">
        <w:rPr>
          <w:rFonts w:ascii="Times New Roman" w:hAnsi="Times New Roman" w:cs="Times New Roman"/>
        </w:rPr>
        <w:t>надати</w:t>
      </w:r>
      <w:proofErr w:type="spellEnd"/>
      <w:r w:rsidRPr="00A0158F">
        <w:rPr>
          <w:rFonts w:ascii="Times New Roman" w:hAnsi="Times New Roman" w:cs="Times New Roman"/>
        </w:rPr>
        <w:t xml:space="preserve"> лист(</w:t>
      </w:r>
      <w:proofErr w:type="spellStart"/>
      <w:r w:rsidRPr="00A0158F">
        <w:rPr>
          <w:rFonts w:ascii="Times New Roman" w:hAnsi="Times New Roman" w:cs="Times New Roman"/>
        </w:rPr>
        <w:t>листи</w:t>
      </w:r>
      <w:proofErr w:type="spellEnd"/>
      <w:r w:rsidRPr="00A0158F">
        <w:rPr>
          <w:rFonts w:ascii="Times New Roman" w:hAnsi="Times New Roman" w:cs="Times New Roman"/>
        </w:rPr>
        <w:t xml:space="preserve">) </w:t>
      </w:r>
      <w:proofErr w:type="spellStart"/>
      <w:r w:rsidRPr="00A0158F">
        <w:rPr>
          <w:rFonts w:ascii="Times New Roman" w:hAnsi="Times New Roman" w:cs="Times New Roman"/>
        </w:rPr>
        <w:t>від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власника</w:t>
      </w:r>
      <w:proofErr w:type="spellEnd"/>
      <w:r w:rsidRPr="00A0158F">
        <w:rPr>
          <w:rFonts w:ascii="Times New Roman" w:hAnsi="Times New Roman" w:cs="Times New Roman"/>
        </w:rPr>
        <w:t>(</w:t>
      </w:r>
      <w:proofErr w:type="spellStart"/>
      <w:r w:rsidRPr="00A0158F">
        <w:rPr>
          <w:rFonts w:ascii="Times New Roman" w:hAnsi="Times New Roman" w:cs="Times New Roman"/>
        </w:rPr>
        <w:t>власників</w:t>
      </w:r>
      <w:proofErr w:type="spellEnd"/>
      <w:r w:rsidRPr="00A0158F">
        <w:rPr>
          <w:rFonts w:ascii="Times New Roman" w:hAnsi="Times New Roman" w:cs="Times New Roman"/>
        </w:rPr>
        <w:t xml:space="preserve">) таких </w:t>
      </w:r>
      <w:proofErr w:type="spellStart"/>
      <w:r w:rsidRPr="00A0158F">
        <w:rPr>
          <w:rFonts w:ascii="Times New Roman" w:hAnsi="Times New Roman" w:cs="Times New Roman"/>
        </w:rPr>
        <w:t>документів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адресований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замовнику</w:t>
      </w:r>
      <w:proofErr w:type="spellEnd"/>
      <w:r w:rsidRPr="00A0158F">
        <w:rPr>
          <w:rFonts w:ascii="Times New Roman" w:hAnsi="Times New Roman" w:cs="Times New Roman"/>
        </w:rPr>
        <w:t xml:space="preserve">, в </w:t>
      </w:r>
      <w:proofErr w:type="spellStart"/>
      <w:r w:rsidRPr="00A0158F">
        <w:rPr>
          <w:rFonts w:ascii="Times New Roman" w:hAnsi="Times New Roman" w:cs="Times New Roman"/>
        </w:rPr>
        <w:t>якому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зазначено</w:t>
      </w:r>
      <w:proofErr w:type="spellEnd"/>
      <w:r w:rsidRPr="00A0158F">
        <w:rPr>
          <w:rFonts w:ascii="Times New Roman" w:hAnsi="Times New Roman" w:cs="Times New Roman"/>
        </w:rPr>
        <w:t xml:space="preserve"> право </w:t>
      </w:r>
      <w:proofErr w:type="spellStart"/>
      <w:r w:rsidRPr="00A0158F">
        <w:rPr>
          <w:rFonts w:ascii="Times New Roman" w:hAnsi="Times New Roman" w:cs="Times New Roman"/>
        </w:rPr>
        <w:t>використання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зазначених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документів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gramStart"/>
      <w:r w:rsidRPr="00A0158F">
        <w:rPr>
          <w:rFonts w:ascii="Times New Roman" w:hAnsi="Times New Roman" w:cs="Times New Roman"/>
        </w:rPr>
        <w:t>в</w:t>
      </w:r>
      <w:proofErr w:type="gram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цьому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із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зазначенням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ідентифікатора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закупівлі</w:t>
      </w:r>
      <w:proofErr w:type="spellEnd"/>
      <w:r w:rsidRPr="00A0158F">
        <w:rPr>
          <w:rFonts w:ascii="Times New Roman" w:hAnsi="Times New Roman" w:cs="Times New Roman"/>
        </w:rPr>
        <w:t xml:space="preserve"> в </w:t>
      </w:r>
      <w:proofErr w:type="spellStart"/>
      <w:r w:rsidRPr="00A0158F">
        <w:rPr>
          <w:rFonts w:ascii="Times New Roman" w:hAnsi="Times New Roman" w:cs="Times New Roman"/>
        </w:rPr>
        <w:t>електронній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системі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закупівель</w:t>
      </w:r>
      <w:proofErr w:type="spellEnd"/>
    </w:p>
    <w:p w:rsidR="00A0158F" w:rsidRPr="00A0158F" w:rsidRDefault="00A0158F" w:rsidP="00A0158F">
      <w:pPr>
        <w:widowControl w:val="0"/>
        <w:tabs>
          <w:tab w:val="left" w:pos="1276"/>
          <w:tab w:val="left" w:pos="663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158F">
        <w:rPr>
          <w:rFonts w:ascii="Times New Roman" w:hAnsi="Times New Roman" w:cs="Times New Roman"/>
        </w:rPr>
        <w:t xml:space="preserve">2.3. </w:t>
      </w:r>
      <w:proofErr w:type="spellStart"/>
      <w:r w:rsidRPr="00A0158F">
        <w:rPr>
          <w:rFonts w:ascii="Times New Roman" w:hAnsi="Times New Roman" w:cs="Times New Roman"/>
        </w:rPr>
        <w:t>Інформаційний</w:t>
      </w:r>
      <w:proofErr w:type="spellEnd"/>
      <w:r w:rsidRPr="00A0158F">
        <w:rPr>
          <w:rFonts w:ascii="Times New Roman" w:hAnsi="Times New Roman" w:cs="Times New Roman"/>
        </w:rPr>
        <w:t xml:space="preserve"> лист </w:t>
      </w:r>
      <w:proofErr w:type="spellStart"/>
      <w:r w:rsidRPr="00A0158F">
        <w:rPr>
          <w:rFonts w:ascii="Times New Roman" w:hAnsi="Times New Roman" w:cs="Times New Roman"/>
        </w:rPr>
        <w:t>з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поясненням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яким</w:t>
      </w:r>
      <w:proofErr w:type="spellEnd"/>
      <w:r w:rsidRPr="00A0158F">
        <w:rPr>
          <w:rFonts w:ascii="Times New Roman" w:hAnsi="Times New Roman" w:cs="Times New Roman"/>
        </w:rPr>
        <w:t xml:space="preserve"> чином буде </w:t>
      </w:r>
      <w:proofErr w:type="spellStart"/>
      <w:r w:rsidRPr="00A0158F">
        <w:rPr>
          <w:rFonts w:ascii="Times New Roman" w:hAnsi="Times New Roman" w:cs="Times New Roman"/>
        </w:rPr>
        <w:t>забезпечена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 поставка </w:t>
      </w:r>
      <w:proofErr w:type="spellStart"/>
      <w:r w:rsidRPr="00A0158F">
        <w:rPr>
          <w:rFonts w:ascii="Times New Roman" w:hAnsi="Times New Roman" w:cs="Times New Roman"/>
        </w:rPr>
        <w:t>визначених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r w:rsidRPr="00A0158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A0158F">
        <w:rPr>
          <w:rFonts w:ascii="Times New Roman" w:hAnsi="Times New Roman" w:cs="Times New Roman"/>
          <w:color w:val="000000"/>
        </w:rPr>
        <w:t>цьому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тендері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r w:rsidRPr="00A0158F">
        <w:rPr>
          <w:rFonts w:ascii="Times New Roman" w:hAnsi="Times New Roman" w:cs="Times New Roman"/>
        </w:rPr>
        <w:t xml:space="preserve">марок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із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зазначенням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інформації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стосовно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виробник</w:t>
      </w:r>
      <w:proofErr w:type="gramStart"/>
      <w:r w:rsidRPr="00A0158F">
        <w:rPr>
          <w:rFonts w:ascii="Times New Roman" w:hAnsi="Times New Roman" w:cs="Times New Roman"/>
        </w:rPr>
        <w:t>а</w:t>
      </w:r>
      <w:proofErr w:type="spellEnd"/>
      <w:r w:rsidRPr="00A0158F">
        <w:rPr>
          <w:rFonts w:ascii="Times New Roman" w:hAnsi="Times New Roman" w:cs="Times New Roman"/>
        </w:rPr>
        <w:t>(</w:t>
      </w:r>
      <w:proofErr w:type="spellStart"/>
      <w:proofErr w:type="gramEnd"/>
      <w:r w:rsidRPr="00A0158F">
        <w:rPr>
          <w:rFonts w:ascii="Times New Roman" w:hAnsi="Times New Roman" w:cs="Times New Roman"/>
        </w:rPr>
        <w:t>ів</w:t>
      </w:r>
      <w:proofErr w:type="spellEnd"/>
      <w:r w:rsidRPr="00A0158F">
        <w:rPr>
          <w:rFonts w:ascii="Times New Roman" w:hAnsi="Times New Roman" w:cs="Times New Roman"/>
        </w:rPr>
        <w:t>) товару (</w:t>
      </w:r>
      <w:proofErr w:type="spellStart"/>
      <w:r w:rsidRPr="00A0158F">
        <w:rPr>
          <w:rFonts w:ascii="Times New Roman" w:hAnsi="Times New Roman" w:cs="Times New Roman"/>
        </w:rPr>
        <w:t>вказати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повне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найменування</w:t>
      </w:r>
      <w:proofErr w:type="spellEnd"/>
      <w:r w:rsidRPr="00A0158F">
        <w:rPr>
          <w:rFonts w:ascii="Times New Roman" w:hAnsi="Times New Roman" w:cs="Times New Roman"/>
        </w:rPr>
        <w:t xml:space="preserve">, код ЄДРПОУ, адресу </w:t>
      </w:r>
      <w:proofErr w:type="spellStart"/>
      <w:r w:rsidRPr="00A0158F">
        <w:rPr>
          <w:rFonts w:ascii="Times New Roman" w:hAnsi="Times New Roman" w:cs="Times New Roman"/>
        </w:rPr>
        <w:t>і</w:t>
      </w:r>
      <w:proofErr w:type="spellEnd"/>
      <w:r w:rsidRPr="00A0158F">
        <w:rPr>
          <w:rFonts w:ascii="Times New Roman" w:hAnsi="Times New Roman" w:cs="Times New Roman"/>
        </w:rPr>
        <w:t xml:space="preserve"> телефон </w:t>
      </w:r>
      <w:proofErr w:type="spellStart"/>
      <w:r w:rsidRPr="00A0158F">
        <w:rPr>
          <w:rFonts w:ascii="Times New Roman" w:hAnsi="Times New Roman" w:cs="Times New Roman"/>
        </w:rPr>
        <w:t>виробника</w:t>
      </w:r>
      <w:proofErr w:type="spellEnd"/>
      <w:r w:rsidRPr="00A0158F">
        <w:rPr>
          <w:rFonts w:ascii="Times New Roman" w:hAnsi="Times New Roman" w:cs="Times New Roman"/>
        </w:rPr>
        <w:t xml:space="preserve">) та </w:t>
      </w:r>
      <w:proofErr w:type="spellStart"/>
      <w:r w:rsidRPr="00A0158F">
        <w:rPr>
          <w:rFonts w:ascii="Times New Roman" w:hAnsi="Times New Roman" w:cs="Times New Roman"/>
        </w:rPr>
        <w:t>постачальника</w:t>
      </w:r>
      <w:proofErr w:type="spellEnd"/>
      <w:r w:rsidRPr="00A0158F">
        <w:rPr>
          <w:rFonts w:ascii="Times New Roman" w:hAnsi="Times New Roman" w:cs="Times New Roman"/>
        </w:rPr>
        <w:t>(</w:t>
      </w:r>
      <w:proofErr w:type="spellStart"/>
      <w:r w:rsidRPr="00A0158F">
        <w:rPr>
          <w:rFonts w:ascii="Times New Roman" w:hAnsi="Times New Roman" w:cs="Times New Roman"/>
        </w:rPr>
        <w:t>продавця</w:t>
      </w:r>
      <w:proofErr w:type="spellEnd"/>
      <w:r w:rsidRPr="00A0158F">
        <w:rPr>
          <w:rFonts w:ascii="Times New Roman" w:hAnsi="Times New Roman" w:cs="Times New Roman"/>
        </w:rPr>
        <w:t xml:space="preserve">) товару, </w:t>
      </w:r>
      <w:proofErr w:type="spellStart"/>
      <w:r w:rsidRPr="00A0158F">
        <w:rPr>
          <w:rFonts w:ascii="Times New Roman" w:hAnsi="Times New Roman" w:cs="Times New Roman"/>
        </w:rPr>
        <w:t>якщо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</w:t>
      </w:r>
      <w:proofErr w:type="spellEnd"/>
      <w:r w:rsidRPr="00A0158F">
        <w:rPr>
          <w:rFonts w:ascii="Times New Roman" w:hAnsi="Times New Roman" w:cs="Times New Roman"/>
        </w:rPr>
        <w:t xml:space="preserve"> для </w:t>
      </w:r>
      <w:proofErr w:type="spellStart"/>
      <w:r w:rsidRPr="00A0158F">
        <w:rPr>
          <w:rFonts w:ascii="Times New Roman" w:hAnsi="Times New Roman" w:cs="Times New Roman"/>
        </w:rPr>
        <w:t>забезпечення</w:t>
      </w:r>
      <w:proofErr w:type="spellEnd"/>
      <w:r w:rsidRPr="00A0158F">
        <w:rPr>
          <w:rFonts w:ascii="Times New Roman" w:hAnsi="Times New Roman" w:cs="Times New Roman"/>
        </w:rPr>
        <w:t xml:space="preserve"> потреб </w:t>
      </w:r>
      <w:proofErr w:type="spellStart"/>
      <w:r w:rsidRPr="00A0158F">
        <w:rPr>
          <w:rFonts w:ascii="Times New Roman" w:hAnsi="Times New Roman" w:cs="Times New Roman"/>
        </w:rPr>
        <w:t>замовника</w:t>
      </w:r>
      <w:proofErr w:type="spellEnd"/>
      <w:r w:rsidRPr="00A0158F">
        <w:rPr>
          <w:rFonts w:ascii="Times New Roman" w:hAnsi="Times New Roman" w:cs="Times New Roman"/>
        </w:rPr>
        <w:t xml:space="preserve"> буде </w:t>
      </w:r>
      <w:proofErr w:type="spellStart"/>
      <w:r w:rsidRPr="00A0158F">
        <w:rPr>
          <w:rFonts w:ascii="Times New Roman" w:hAnsi="Times New Roman" w:cs="Times New Roman"/>
        </w:rPr>
        <w:t>закуповувати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будь-якого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суб’єкта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підприємницької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діяльності</w:t>
      </w:r>
      <w:proofErr w:type="spellEnd"/>
      <w:r w:rsidRPr="00A0158F">
        <w:rPr>
          <w:rFonts w:ascii="Times New Roman" w:hAnsi="Times New Roman" w:cs="Times New Roman"/>
        </w:rPr>
        <w:t xml:space="preserve"> (</w:t>
      </w:r>
      <w:proofErr w:type="spellStart"/>
      <w:r w:rsidRPr="00A0158F">
        <w:rPr>
          <w:rFonts w:ascii="Times New Roman" w:hAnsi="Times New Roman" w:cs="Times New Roman"/>
        </w:rPr>
        <w:t>вказати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найменування</w:t>
      </w:r>
      <w:proofErr w:type="spellEnd"/>
      <w:r w:rsidRPr="00A0158F">
        <w:rPr>
          <w:rFonts w:ascii="Times New Roman" w:hAnsi="Times New Roman" w:cs="Times New Roman"/>
        </w:rPr>
        <w:t xml:space="preserve">, код ЄДРПОУ, адресу </w:t>
      </w:r>
      <w:proofErr w:type="spellStart"/>
      <w:r w:rsidRPr="00A0158F">
        <w:rPr>
          <w:rFonts w:ascii="Times New Roman" w:hAnsi="Times New Roman" w:cs="Times New Roman"/>
        </w:rPr>
        <w:t>і</w:t>
      </w:r>
      <w:proofErr w:type="spellEnd"/>
      <w:r w:rsidRPr="00A0158F">
        <w:rPr>
          <w:rFonts w:ascii="Times New Roman" w:hAnsi="Times New Roman" w:cs="Times New Roman"/>
        </w:rPr>
        <w:t xml:space="preserve"> телефон такого </w:t>
      </w:r>
      <w:proofErr w:type="spellStart"/>
      <w:r w:rsidRPr="00A0158F">
        <w:rPr>
          <w:rFonts w:ascii="Times New Roman" w:hAnsi="Times New Roman" w:cs="Times New Roman"/>
        </w:rPr>
        <w:t>суб’єкта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господарювання</w:t>
      </w:r>
      <w:proofErr w:type="spellEnd"/>
      <w:r w:rsidRPr="00A0158F">
        <w:rPr>
          <w:rFonts w:ascii="Times New Roman" w:hAnsi="Times New Roman" w:cs="Times New Roman"/>
        </w:rPr>
        <w:t xml:space="preserve">). </w:t>
      </w:r>
    </w:p>
    <w:p w:rsidR="00A0158F" w:rsidRPr="00A0158F" w:rsidRDefault="00A0158F" w:rsidP="00A0158F">
      <w:pPr>
        <w:widowControl w:val="0"/>
        <w:tabs>
          <w:tab w:val="left" w:pos="1276"/>
          <w:tab w:val="left" w:pos="1418"/>
          <w:tab w:val="left" w:pos="6637"/>
        </w:tabs>
        <w:spacing w:after="0" w:line="240" w:lineRule="auto"/>
        <w:ind w:firstLine="851"/>
        <w:jc w:val="both"/>
        <w:rPr>
          <w:rStyle w:val="xfm16991751"/>
          <w:rFonts w:ascii="Times New Roman" w:hAnsi="Times New Roman" w:cs="Times New Roman"/>
          <w:i/>
          <w:iCs/>
        </w:rPr>
      </w:pPr>
      <w:r w:rsidRPr="00A0158F">
        <w:rPr>
          <w:rFonts w:ascii="Times New Roman" w:hAnsi="Times New Roman" w:cs="Times New Roman"/>
        </w:rPr>
        <w:t xml:space="preserve">2.4. </w:t>
      </w:r>
      <w:proofErr w:type="spellStart"/>
      <w:r w:rsidRPr="00A0158F">
        <w:rPr>
          <w:rFonts w:ascii="Times New Roman" w:hAnsi="Times New Roman" w:cs="Times New Roman"/>
        </w:rPr>
        <w:t>Документи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які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8F">
        <w:rPr>
          <w:rFonts w:ascii="Times New Roman" w:hAnsi="Times New Roman" w:cs="Times New Roman"/>
        </w:rPr>
        <w:t>п</w:t>
      </w:r>
      <w:proofErr w:type="gramEnd"/>
      <w:r w:rsidRPr="00A0158F">
        <w:rPr>
          <w:rFonts w:ascii="Times New Roman" w:hAnsi="Times New Roman" w:cs="Times New Roman"/>
        </w:rPr>
        <w:t>ідтверджують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інформацію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зазначену</w:t>
      </w:r>
      <w:proofErr w:type="spell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довідці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згідно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</w:t>
      </w:r>
      <w:proofErr w:type="spellEnd"/>
      <w:r w:rsidRPr="00A0158F">
        <w:rPr>
          <w:rFonts w:ascii="Times New Roman" w:hAnsi="Times New Roman" w:cs="Times New Roman"/>
        </w:rPr>
        <w:t xml:space="preserve"> п.2.3. </w:t>
      </w:r>
      <w:proofErr w:type="spellStart"/>
      <w:r w:rsidRPr="00A0158F">
        <w:rPr>
          <w:rFonts w:ascii="Times New Roman" w:hAnsi="Times New Roman" w:cs="Times New Roman"/>
        </w:rPr>
        <w:t>додатку</w:t>
      </w:r>
      <w:proofErr w:type="spellEnd"/>
      <w:r w:rsidRPr="00A0158F">
        <w:rPr>
          <w:rFonts w:ascii="Times New Roman" w:hAnsi="Times New Roman" w:cs="Times New Roman"/>
        </w:rPr>
        <w:t xml:space="preserve"> 2 до </w:t>
      </w:r>
      <w:proofErr w:type="spellStart"/>
      <w:r w:rsidRPr="00A0158F">
        <w:rPr>
          <w:rFonts w:ascii="Times New Roman" w:hAnsi="Times New Roman" w:cs="Times New Roman"/>
        </w:rPr>
        <w:t>цієї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документації</w:t>
      </w:r>
      <w:proofErr w:type="spellEnd"/>
      <w:r w:rsidRPr="00A0158F">
        <w:rPr>
          <w:rFonts w:ascii="Times New Roman" w:hAnsi="Times New Roman" w:cs="Times New Roman"/>
        </w:rPr>
        <w:t xml:space="preserve">: </w:t>
      </w:r>
      <w:proofErr w:type="spellStart"/>
      <w:r w:rsidRPr="00A0158F">
        <w:rPr>
          <w:rFonts w:ascii="Times New Roman" w:hAnsi="Times New Roman" w:cs="Times New Roman"/>
        </w:rPr>
        <w:t>чинний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договір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(и)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купівлі-продажу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(</w:t>
      </w:r>
      <w:proofErr w:type="spellStart"/>
      <w:r w:rsidRPr="00A0158F">
        <w:rPr>
          <w:rStyle w:val="xfm16991751"/>
          <w:rFonts w:ascii="Times New Roman" w:hAnsi="Times New Roman" w:cs="Times New Roman"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постачання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) </w:t>
      </w:r>
      <w:proofErr w:type="spellStart"/>
      <w:r w:rsidRPr="00A0158F">
        <w:rPr>
          <w:rFonts w:ascii="Times New Roman" w:hAnsi="Times New Roman" w:cs="Times New Roman"/>
        </w:rPr>
        <w:t>визначених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r w:rsidRPr="00A0158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A0158F">
        <w:rPr>
          <w:rFonts w:ascii="Times New Roman" w:hAnsi="Times New Roman" w:cs="Times New Roman"/>
          <w:color w:val="000000"/>
        </w:rPr>
        <w:t>цьому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158F">
        <w:rPr>
          <w:rFonts w:ascii="Times New Roman" w:hAnsi="Times New Roman" w:cs="Times New Roman"/>
          <w:color w:val="000000"/>
        </w:rPr>
        <w:t>тендері</w:t>
      </w:r>
      <w:proofErr w:type="spellEnd"/>
      <w:r w:rsidRPr="00A0158F">
        <w:rPr>
          <w:rFonts w:ascii="Times New Roman" w:hAnsi="Times New Roman" w:cs="Times New Roman"/>
          <w:color w:val="000000"/>
        </w:rPr>
        <w:t xml:space="preserve"> </w:t>
      </w:r>
      <w:r w:rsidRPr="00A0158F">
        <w:rPr>
          <w:rFonts w:ascii="Times New Roman" w:hAnsi="Times New Roman" w:cs="Times New Roman"/>
        </w:rPr>
        <w:t xml:space="preserve">марок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між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і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виробником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товару (</w:t>
      </w:r>
      <w:proofErr w:type="spellStart"/>
      <w:r w:rsidRPr="00A0158F">
        <w:rPr>
          <w:rStyle w:val="xfm16991751"/>
          <w:rFonts w:ascii="Times New Roman" w:hAnsi="Times New Roman" w:cs="Times New Roman"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продавцем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,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постачальником</w:t>
      </w:r>
      <w:proofErr w:type="spellEnd"/>
      <w:r w:rsidRPr="00A0158F">
        <w:rPr>
          <w:rStyle w:val="xfm16991751"/>
          <w:rFonts w:ascii="Times New Roman" w:hAnsi="Times New Roman" w:cs="Times New Roman"/>
        </w:rPr>
        <w:t>) (</w:t>
      </w:r>
      <w:proofErr w:type="spellStart"/>
      <w:r w:rsidRPr="00A0158F">
        <w:rPr>
          <w:rFonts w:ascii="Times New Roman" w:hAnsi="Times New Roman" w:cs="Times New Roman"/>
          <w:i/>
        </w:rPr>
        <w:t>якщо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учасник</w:t>
      </w:r>
      <w:proofErr w:type="spellEnd"/>
      <w:r w:rsidRPr="00A0158F">
        <w:rPr>
          <w:rFonts w:ascii="Times New Roman" w:hAnsi="Times New Roman" w:cs="Times New Roman"/>
          <w:i/>
        </w:rPr>
        <w:t xml:space="preserve"> не </w:t>
      </w:r>
      <w:proofErr w:type="spellStart"/>
      <w:r w:rsidRPr="00A0158F">
        <w:rPr>
          <w:rFonts w:ascii="Times New Roman" w:hAnsi="Times New Roman" w:cs="Times New Roman"/>
          <w:i/>
        </w:rPr>
        <w:t>є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виробником</w:t>
      </w:r>
      <w:proofErr w:type="spellEnd"/>
      <w:r w:rsidRPr="00A0158F">
        <w:rPr>
          <w:rFonts w:ascii="Times New Roman" w:hAnsi="Times New Roman" w:cs="Times New Roman"/>
          <w:i/>
        </w:rPr>
        <w:t>);</w:t>
      </w:r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догові</w:t>
      </w:r>
      <w:proofErr w:type="gramStart"/>
      <w:r w:rsidRPr="00A0158F">
        <w:rPr>
          <w:rStyle w:val="xfm16991751"/>
          <w:rFonts w:ascii="Times New Roman" w:hAnsi="Times New Roman" w:cs="Times New Roman"/>
        </w:rPr>
        <w:t>р</w:t>
      </w:r>
      <w:proofErr w:type="spellEnd"/>
      <w:r w:rsidRPr="00A0158F">
        <w:rPr>
          <w:rStyle w:val="xfm16991751"/>
          <w:rFonts w:ascii="Times New Roman" w:hAnsi="Times New Roman" w:cs="Times New Roman"/>
        </w:rPr>
        <w:t>(</w:t>
      </w:r>
      <w:proofErr w:type="gramEnd"/>
      <w:r w:rsidRPr="00A0158F">
        <w:rPr>
          <w:rStyle w:val="xfm16991751"/>
          <w:rFonts w:ascii="Times New Roman" w:hAnsi="Times New Roman" w:cs="Times New Roman"/>
        </w:rPr>
        <w:t xml:space="preserve">и)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купівлі-продажу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(</w:t>
      </w:r>
      <w:proofErr w:type="spellStart"/>
      <w:r w:rsidRPr="00A0158F">
        <w:rPr>
          <w:rStyle w:val="xfm16991751"/>
          <w:rFonts w:ascii="Times New Roman" w:hAnsi="Times New Roman" w:cs="Times New Roman"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постачання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) </w:t>
      </w:r>
      <w:proofErr w:type="spellStart"/>
      <w:r w:rsidRPr="00A0158F">
        <w:rPr>
          <w:rFonts w:ascii="Times New Roman" w:hAnsi="Times New Roman" w:cs="Times New Roman"/>
        </w:rPr>
        <w:t>визначених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марок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між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продавцем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(</w:t>
      </w:r>
      <w:proofErr w:type="spellStart"/>
      <w:r w:rsidRPr="00A0158F">
        <w:rPr>
          <w:rStyle w:val="xfm16991751"/>
          <w:rFonts w:ascii="Times New Roman" w:hAnsi="Times New Roman" w:cs="Times New Roman"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постачальником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) </w:t>
      </w:r>
      <w:proofErr w:type="spellStart"/>
      <w:r w:rsidRPr="00A0158F">
        <w:rPr>
          <w:rStyle w:val="xfm16991751"/>
          <w:rFonts w:ascii="Times New Roman" w:hAnsi="Times New Roman" w:cs="Times New Roman"/>
        </w:rPr>
        <w:t>і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</w:rPr>
        <w:t>виробником</w:t>
      </w:r>
      <w:proofErr w:type="spellEnd"/>
      <w:r w:rsidRPr="00A0158F">
        <w:rPr>
          <w:rStyle w:val="xfm16991751"/>
          <w:rFonts w:ascii="Times New Roman" w:hAnsi="Times New Roman" w:cs="Times New Roman"/>
        </w:rPr>
        <w:t xml:space="preserve"> товару (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якщо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учасник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r w:rsidRPr="00A0158F">
        <w:rPr>
          <w:rFonts w:ascii="Times New Roman" w:hAnsi="Times New Roman" w:cs="Times New Roman"/>
          <w:i/>
        </w:rPr>
        <w:t xml:space="preserve">не </w:t>
      </w:r>
      <w:proofErr w:type="spellStart"/>
      <w:r w:rsidRPr="00A0158F">
        <w:rPr>
          <w:rFonts w:ascii="Times New Roman" w:hAnsi="Times New Roman" w:cs="Times New Roman"/>
          <w:i/>
        </w:rPr>
        <w:t>є</w:t>
      </w:r>
      <w:proofErr w:type="spellEnd"/>
      <w:r w:rsidRPr="00A0158F">
        <w:rPr>
          <w:rFonts w:ascii="Times New Roman" w:hAnsi="Times New Roman" w:cs="Times New Roman"/>
          <w:i/>
        </w:rPr>
        <w:t xml:space="preserve"> </w:t>
      </w:r>
      <w:proofErr w:type="spellStart"/>
      <w:r w:rsidRPr="00A0158F">
        <w:rPr>
          <w:rFonts w:ascii="Times New Roman" w:hAnsi="Times New Roman" w:cs="Times New Roman"/>
          <w:i/>
        </w:rPr>
        <w:t>виробником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та/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або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не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має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прямих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договірних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відносин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з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proofErr w:type="spellStart"/>
      <w:r w:rsidRPr="00A0158F">
        <w:rPr>
          <w:rStyle w:val="xfm16991751"/>
          <w:rFonts w:ascii="Times New Roman" w:hAnsi="Times New Roman" w:cs="Times New Roman"/>
          <w:i/>
          <w:iCs/>
        </w:rPr>
        <w:t>виробником</w:t>
      </w:r>
      <w:proofErr w:type="spellEnd"/>
      <w:r w:rsidRPr="00A0158F">
        <w:rPr>
          <w:rStyle w:val="xfm16991751"/>
          <w:rFonts w:ascii="Times New Roman" w:hAnsi="Times New Roman" w:cs="Times New Roman"/>
          <w:i/>
          <w:iCs/>
        </w:rPr>
        <w:t>).</w:t>
      </w:r>
    </w:p>
    <w:p w:rsidR="00A0158F" w:rsidRPr="00A0158F" w:rsidRDefault="00A0158F" w:rsidP="00A015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0158F">
        <w:rPr>
          <w:rStyle w:val="xfm16991751"/>
          <w:rFonts w:ascii="Times New Roman" w:hAnsi="Times New Roman" w:cs="Times New Roman"/>
          <w:iCs/>
        </w:rPr>
        <w:t>2.5.</w:t>
      </w:r>
      <w:r w:rsidRPr="00A0158F">
        <w:rPr>
          <w:rStyle w:val="xfm16991751"/>
          <w:rFonts w:ascii="Times New Roman" w:hAnsi="Times New Roman" w:cs="Times New Roman"/>
          <w:i/>
          <w:iCs/>
        </w:rPr>
        <w:t xml:space="preserve"> </w:t>
      </w:r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пропонується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еквівалент</w:t>
      </w:r>
      <w:proofErr w:type="spellEnd"/>
      <w:r w:rsidRPr="00A0158F">
        <w:rPr>
          <w:rFonts w:ascii="Times New Roman" w:hAnsi="Times New Roman" w:cs="Times New Roman"/>
        </w:rPr>
        <w:t xml:space="preserve"> товару, </w:t>
      </w:r>
      <w:proofErr w:type="spellStart"/>
      <w:r w:rsidRPr="00A0158F">
        <w:rPr>
          <w:rFonts w:ascii="Times New Roman" w:hAnsi="Times New Roman" w:cs="Times New Roman"/>
        </w:rPr>
        <w:t>він</w:t>
      </w:r>
      <w:proofErr w:type="spellEnd"/>
      <w:r w:rsidRPr="00A0158F">
        <w:rPr>
          <w:rFonts w:ascii="Times New Roman" w:hAnsi="Times New Roman" w:cs="Times New Roman"/>
        </w:rPr>
        <w:t xml:space="preserve"> повинен </w:t>
      </w:r>
      <w:proofErr w:type="spellStart"/>
      <w:r w:rsidRPr="00A0158F">
        <w:rPr>
          <w:rFonts w:ascii="Times New Roman" w:hAnsi="Times New Roman" w:cs="Times New Roman"/>
        </w:rPr>
        <w:t>додатково</w:t>
      </w:r>
      <w:proofErr w:type="spell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складі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пропозиції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надати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таблицю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складену</w:t>
      </w:r>
      <w:proofErr w:type="spellEnd"/>
      <w:r w:rsidRPr="00A0158F">
        <w:rPr>
          <w:rFonts w:ascii="Times New Roman" w:hAnsi="Times New Roman" w:cs="Times New Roman"/>
        </w:rPr>
        <w:t xml:space="preserve"> в </w:t>
      </w:r>
      <w:proofErr w:type="spellStart"/>
      <w:r w:rsidRPr="00A0158F">
        <w:rPr>
          <w:rFonts w:ascii="Times New Roman" w:hAnsi="Times New Roman" w:cs="Times New Roman"/>
        </w:rPr>
        <w:t>довільні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формі</w:t>
      </w:r>
      <w:proofErr w:type="spellEnd"/>
      <w:r w:rsidRPr="00A0158F">
        <w:rPr>
          <w:rFonts w:ascii="Times New Roman" w:hAnsi="Times New Roman" w:cs="Times New Roman"/>
        </w:rPr>
        <w:t xml:space="preserve">, яка у </w:t>
      </w:r>
      <w:proofErr w:type="spellStart"/>
      <w:r w:rsidRPr="00A0158F">
        <w:rPr>
          <w:rFonts w:ascii="Times New Roman" w:hAnsi="Times New Roman" w:cs="Times New Roman"/>
        </w:rPr>
        <w:t>порівняльному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вигляді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містить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відомості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щодо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158F">
        <w:rPr>
          <w:rFonts w:ascii="Times New Roman" w:hAnsi="Times New Roman" w:cs="Times New Roman"/>
        </w:rPr>
        <w:t>вс</w:t>
      </w:r>
      <w:proofErr w:type="gramEnd"/>
      <w:r w:rsidRPr="00A0158F">
        <w:rPr>
          <w:rFonts w:ascii="Times New Roman" w:hAnsi="Times New Roman" w:cs="Times New Roman"/>
        </w:rPr>
        <w:t>іх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основних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якісних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технологічних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експлуатаційних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показників</w:t>
      </w:r>
      <w:proofErr w:type="spellEnd"/>
      <w:r w:rsidRPr="00A0158F">
        <w:rPr>
          <w:rFonts w:ascii="Times New Roman" w:hAnsi="Times New Roman" w:cs="Times New Roman"/>
        </w:rPr>
        <w:t xml:space="preserve"> марок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закуповується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в </w:t>
      </w:r>
      <w:proofErr w:type="spellStart"/>
      <w:r w:rsidRPr="00A0158F">
        <w:rPr>
          <w:rFonts w:ascii="Times New Roman" w:hAnsi="Times New Roman" w:cs="Times New Roman"/>
        </w:rPr>
        <w:t>цьому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тендері</w:t>
      </w:r>
      <w:proofErr w:type="spellEnd"/>
      <w:r w:rsidRPr="00A0158F">
        <w:rPr>
          <w:rFonts w:ascii="Times New Roman" w:hAnsi="Times New Roman" w:cs="Times New Roman"/>
        </w:rPr>
        <w:t xml:space="preserve">, до </w:t>
      </w:r>
      <w:proofErr w:type="spellStart"/>
      <w:r w:rsidRPr="00A0158F">
        <w:rPr>
          <w:rFonts w:ascii="Times New Roman" w:hAnsi="Times New Roman" w:cs="Times New Roman"/>
        </w:rPr>
        <w:t>аналогічних</w:t>
      </w:r>
      <w:proofErr w:type="spellEnd"/>
      <w:r w:rsidRPr="00A0158F">
        <w:rPr>
          <w:rFonts w:ascii="Times New Roman" w:hAnsi="Times New Roman" w:cs="Times New Roman"/>
        </w:rPr>
        <w:t xml:space="preserve"> характеристик </w:t>
      </w:r>
      <w:proofErr w:type="spellStart"/>
      <w:r w:rsidRPr="00A0158F">
        <w:rPr>
          <w:rFonts w:ascii="Times New Roman" w:hAnsi="Times New Roman" w:cs="Times New Roman"/>
        </w:rPr>
        <w:t>еквівалентного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r w:rsidRPr="00A0158F">
        <w:rPr>
          <w:rFonts w:ascii="Times New Roman" w:hAnsi="Times New Roman" w:cs="Times New Roman"/>
        </w:rPr>
        <w:lastRenderedPageBreak/>
        <w:t xml:space="preserve">товару,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пропонується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. При </w:t>
      </w:r>
      <w:proofErr w:type="spellStart"/>
      <w:r w:rsidRPr="00A0158F">
        <w:rPr>
          <w:rFonts w:ascii="Times New Roman" w:hAnsi="Times New Roman" w:cs="Times New Roman"/>
        </w:rPr>
        <w:t>цьому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якість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запропонованого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еквіваленту</w:t>
      </w:r>
      <w:proofErr w:type="spellEnd"/>
      <w:r w:rsidRPr="00A0158F">
        <w:rPr>
          <w:rFonts w:ascii="Times New Roman" w:hAnsi="Times New Roman" w:cs="Times New Roman"/>
        </w:rPr>
        <w:t xml:space="preserve"> товару </w:t>
      </w:r>
      <w:proofErr w:type="spellStart"/>
      <w:r w:rsidRPr="00A0158F">
        <w:rPr>
          <w:rFonts w:ascii="Times New Roman" w:hAnsi="Times New Roman" w:cs="Times New Roman"/>
        </w:rPr>
        <w:t>має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відповідати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якості</w:t>
      </w:r>
      <w:proofErr w:type="spellEnd"/>
      <w:r w:rsidRPr="00A0158F">
        <w:rPr>
          <w:rFonts w:ascii="Times New Roman" w:hAnsi="Times New Roman" w:cs="Times New Roman"/>
        </w:rPr>
        <w:t xml:space="preserve"> (бути не </w:t>
      </w:r>
      <w:proofErr w:type="spellStart"/>
      <w:r w:rsidRPr="00A0158F">
        <w:rPr>
          <w:rFonts w:ascii="Times New Roman" w:hAnsi="Times New Roman" w:cs="Times New Roman"/>
        </w:rPr>
        <w:t>гіршою</w:t>
      </w:r>
      <w:proofErr w:type="spellEnd"/>
      <w:r w:rsidRPr="00A0158F">
        <w:rPr>
          <w:rFonts w:ascii="Times New Roman" w:hAnsi="Times New Roman" w:cs="Times New Roman"/>
        </w:rPr>
        <w:t xml:space="preserve">),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gramStart"/>
      <w:r w:rsidRPr="00A0158F">
        <w:rPr>
          <w:rFonts w:ascii="Times New Roman" w:hAnsi="Times New Roman" w:cs="Times New Roman"/>
        </w:rPr>
        <w:t>заявлена</w:t>
      </w:r>
      <w:proofErr w:type="gramEnd"/>
      <w:r w:rsidRPr="00A0158F">
        <w:rPr>
          <w:rFonts w:ascii="Times New Roman" w:hAnsi="Times New Roman" w:cs="Times New Roman"/>
        </w:rPr>
        <w:t xml:space="preserve"> у </w:t>
      </w:r>
      <w:proofErr w:type="spellStart"/>
      <w:r w:rsidRPr="00A0158F">
        <w:rPr>
          <w:rFonts w:ascii="Times New Roman" w:hAnsi="Times New Roman" w:cs="Times New Roman"/>
        </w:rPr>
        <w:t>технічній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специфікації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замовника</w:t>
      </w:r>
      <w:proofErr w:type="spellEnd"/>
      <w:r w:rsidRPr="00A0158F">
        <w:rPr>
          <w:rFonts w:ascii="Times New Roman" w:hAnsi="Times New Roman" w:cs="Times New Roman"/>
        </w:rPr>
        <w:t>. </w:t>
      </w:r>
      <w:proofErr w:type="spellStart"/>
      <w:r w:rsidRPr="00A0158F">
        <w:rPr>
          <w:rFonts w:ascii="Times New Roman" w:hAnsi="Times New Roman" w:cs="Times New Roman"/>
        </w:rPr>
        <w:t>Крім</w:t>
      </w:r>
      <w:proofErr w:type="spellEnd"/>
      <w:r w:rsidRPr="00A0158F">
        <w:rPr>
          <w:rFonts w:ascii="Times New Roman" w:hAnsi="Times New Roman" w:cs="Times New Roman"/>
        </w:rPr>
        <w:t xml:space="preserve"> того, у </w:t>
      </w:r>
      <w:proofErr w:type="spellStart"/>
      <w:r w:rsidRPr="00A0158F">
        <w:rPr>
          <w:rFonts w:ascii="Times New Roman" w:hAnsi="Times New Roman" w:cs="Times New Roman"/>
        </w:rPr>
        <w:t>складі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пропозиції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</w:t>
      </w:r>
      <w:proofErr w:type="spellEnd"/>
      <w:r w:rsidRPr="00A0158F">
        <w:rPr>
          <w:rFonts w:ascii="Times New Roman" w:hAnsi="Times New Roman" w:cs="Times New Roman"/>
        </w:rPr>
        <w:t xml:space="preserve"> повинен </w:t>
      </w:r>
      <w:proofErr w:type="spellStart"/>
      <w:r w:rsidRPr="00A0158F">
        <w:rPr>
          <w:rFonts w:ascii="Times New Roman" w:hAnsi="Times New Roman" w:cs="Times New Roman"/>
        </w:rPr>
        <w:t>надати</w:t>
      </w:r>
      <w:proofErr w:type="spellEnd"/>
      <w:r w:rsidRPr="00A0158F">
        <w:rPr>
          <w:rFonts w:ascii="Times New Roman" w:hAnsi="Times New Roman" w:cs="Times New Roman"/>
        </w:rPr>
        <w:t xml:space="preserve"> документ (</w:t>
      </w:r>
      <w:proofErr w:type="spellStart"/>
      <w:r w:rsidRPr="00A0158F">
        <w:rPr>
          <w:rFonts w:ascii="Times New Roman" w:hAnsi="Times New Roman" w:cs="Times New Roman"/>
        </w:rPr>
        <w:t>висновок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або</w:t>
      </w:r>
      <w:proofErr w:type="spellEnd"/>
      <w:r w:rsidRPr="00A0158F">
        <w:rPr>
          <w:rFonts w:ascii="Times New Roman" w:hAnsi="Times New Roman" w:cs="Times New Roman"/>
        </w:rPr>
        <w:t xml:space="preserve"> лист </w:t>
      </w:r>
      <w:proofErr w:type="spellStart"/>
      <w:r w:rsidRPr="00A0158F">
        <w:rPr>
          <w:rFonts w:ascii="Times New Roman" w:hAnsi="Times New Roman" w:cs="Times New Roman"/>
        </w:rPr>
        <w:t>замовнику</w:t>
      </w:r>
      <w:proofErr w:type="spellEnd"/>
      <w:r w:rsidRPr="00A0158F">
        <w:rPr>
          <w:rFonts w:ascii="Times New Roman" w:hAnsi="Times New Roman" w:cs="Times New Roman"/>
        </w:rPr>
        <w:t xml:space="preserve">) </w:t>
      </w:r>
      <w:proofErr w:type="spellStart"/>
      <w:r w:rsidRPr="00A0158F">
        <w:rPr>
          <w:rFonts w:ascii="Times New Roman" w:hAnsi="Times New Roman" w:cs="Times New Roman"/>
        </w:rPr>
        <w:t>від</w:t>
      </w:r>
      <w:proofErr w:type="spellEnd"/>
      <w:r w:rsidRPr="00A0158F">
        <w:rPr>
          <w:rFonts w:ascii="Times New Roman" w:hAnsi="Times New Roman" w:cs="Times New Roman"/>
        </w:rPr>
        <w:t xml:space="preserve"> ВП «УКРНДІВУГЛЕЗБАГАЧЕННЯ» ДП «НТЦ «ВУГЛЕІННОВАЦІЯ»,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запропонований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учасником</w:t>
      </w:r>
      <w:proofErr w:type="spellEnd"/>
      <w:r w:rsidRPr="00A0158F">
        <w:rPr>
          <w:rFonts w:ascii="Times New Roman" w:hAnsi="Times New Roman" w:cs="Times New Roman"/>
        </w:rPr>
        <w:t xml:space="preserve"> товар </w:t>
      </w:r>
      <w:proofErr w:type="spellStart"/>
      <w:r w:rsidRPr="00A0158F">
        <w:rPr>
          <w:rFonts w:ascii="Times New Roman" w:hAnsi="Times New Roman" w:cs="Times New Roman"/>
        </w:rPr>
        <w:t>є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еквівалентом</w:t>
      </w:r>
      <w:proofErr w:type="spellEnd"/>
      <w:r w:rsidRPr="00A0158F">
        <w:rPr>
          <w:rFonts w:ascii="Times New Roman" w:hAnsi="Times New Roman" w:cs="Times New Roman"/>
        </w:rPr>
        <w:t xml:space="preserve"> марки </w:t>
      </w:r>
      <w:proofErr w:type="spellStart"/>
      <w:r w:rsidRPr="00A0158F">
        <w:rPr>
          <w:rFonts w:ascii="Times New Roman" w:hAnsi="Times New Roman" w:cs="Times New Roman"/>
        </w:rPr>
        <w:t>вугілля</w:t>
      </w:r>
      <w:proofErr w:type="spellEnd"/>
      <w:r w:rsidRPr="00A0158F">
        <w:rPr>
          <w:rFonts w:ascii="Times New Roman" w:hAnsi="Times New Roman" w:cs="Times New Roman"/>
        </w:rPr>
        <w:t xml:space="preserve">, </w:t>
      </w:r>
      <w:proofErr w:type="spellStart"/>
      <w:r w:rsidRPr="00A0158F">
        <w:rPr>
          <w:rFonts w:ascii="Times New Roman" w:hAnsi="Times New Roman" w:cs="Times New Roman"/>
        </w:rPr>
        <w:t>що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закуповується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замовником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gramStart"/>
      <w:r w:rsidRPr="00A0158F">
        <w:rPr>
          <w:rFonts w:ascii="Times New Roman" w:hAnsi="Times New Roman" w:cs="Times New Roman"/>
        </w:rPr>
        <w:t>у</w:t>
      </w:r>
      <w:proofErr w:type="gram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відповідності</w:t>
      </w:r>
      <w:proofErr w:type="spellEnd"/>
      <w:r w:rsidRPr="00A0158F">
        <w:rPr>
          <w:rFonts w:ascii="Times New Roman" w:hAnsi="Times New Roman" w:cs="Times New Roman"/>
        </w:rPr>
        <w:t xml:space="preserve"> до </w:t>
      </w:r>
      <w:proofErr w:type="spellStart"/>
      <w:r w:rsidRPr="00A0158F">
        <w:rPr>
          <w:rFonts w:ascii="Times New Roman" w:hAnsi="Times New Roman" w:cs="Times New Roman"/>
        </w:rPr>
        <w:t>вимог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цієї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тендерної</w:t>
      </w:r>
      <w:proofErr w:type="spellEnd"/>
      <w:r w:rsidRPr="00A0158F">
        <w:rPr>
          <w:rFonts w:ascii="Times New Roman" w:hAnsi="Times New Roman" w:cs="Times New Roman"/>
        </w:rPr>
        <w:t xml:space="preserve"> </w:t>
      </w:r>
      <w:proofErr w:type="spellStart"/>
      <w:r w:rsidRPr="00A0158F">
        <w:rPr>
          <w:rFonts w:ascii="Times New Roman" w:hAnsi="Times New Roman" w:cs="Times New Roman"/>
        </w:rPr>
        <w:t>документації</w:t>
      </w:r>
      <w:proofErr w:type="spellEnd"/>
      <w:r w:rsidRPr="00A0158F">
        <w:rPr>
          <w:rFonts w:ascii="Times New Roman" w:hAnsi="Times New Roman" w:cs="Times New Roman"/>
        </w:rPr>
        <w:t>.</w:t>
      </w:r>
    </w:p>
    <w:p w:rsidR="00A0158F" w:rsidRPr="00A0158F" w:rsidRDefault="00A0158F" w:rsidP="00A0158F">
      <w:pPr>
        <w:widowControl w:val="0"/>
        <w:tabs>
          <w:tab w:val="left" w:pos="993"/>
          <w:tab w:val="left" w:pos="6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158F" w:rsidRPr="00A0158F" w:rsidRDefault="00A0158F" w:rsidP="00A0158F">
      <w:pPr>
        <w:pStyle w:val="tbl-cod"/>
        <w:spacing w:before="0" w:beforeAutospacing="0" w:after="0" w:afterAutospacing="0"/>
        <w:ind w:left="4111"/>
        <w:rPr>
          <w:b/>
        </w:rPr>
      </w:pPr>
    </w:p>
    <w:p w:rsidR="00A0158F" w:rsidRPr="00A0158F" w:rsidRDefault="00A0158F" w:rsidP="00A0158F">
      <w:pPr>
        <w:pStyle w:val="tbl-cod"/>
        <w:spacing w:before="0" w:beforeAutospacing="0" w:after="0" w:afterAutospacing="0"/>
        <w:ind w:left="4111"/>
        <w:rPr>
          <w:b/>
        </w:rPr>
      </w:pPr>
    </w:p>
    <w:p w:rsidR="00A0158F" w:rsidRPr="00A0158F" w:rsidRDefault="00A0158F" w:rsidP="00A0158F">
      <w:pPr>
        <w:spacing w:after="0" w:line="240" w:lineRule="auto"/>
        <w:rPr>
          <w:rFonts w:ascii="Times New Roman" w:hAnsi="Times New Roman" w:cs="Times New Roman"/>
        </w:rPr>
      </w:pPr>
    </w:p>
    <w:p w:rsidR="00A0158F" w:rsidRPr="00A0158F" w:rsidRDefault="00A0158F" w:rsidP="00F0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58F" w:rsidRPr="00A0158F" w:rsidSect="0038141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6CE1"/>
    <w:rsid w:val="00081EAD"/>
    <w:rsid w:val="00134AED"/>
    <w:rsid w:val="00147C92"/>
    <w:rsid w:val="001A7F0D"/>
    <w:rsid w:val="001F0CA6"/>
    <w:rsid w:val="002121BC"/>
    <w:rsid w:val="002B6CE1"/>
    <w:rsid w:val="002F6AC2"/>
    <w:rsid w:val="00381413"/>
    <w:rsid w:val="003F7135"/>
    <w:rsid w:val="00433334"/>
    <w:rsid w:val="00510732"/>
    <w:rsid w:val="00594924"/>
    <w:rsid w:val="005E278E"/>
    <w:rsid w:val="005F782C"/>
    <w:rsid w:val="0061531B"/>
    <w:rsid w:val="00632943"/>
    <w:rsid w:val="00672FB9"/>
    <w:rsid w:val="0075453F"/>
    <w:rsid w:val="00774081"/>
    <w:rsid w:val="008A6931"/>
    <w:rsid w:val="009161DC"/>
    <w:rsid w:val="009317A9"/>
    <w:rsid w:val="009372FA"/>
    <w:rsid w:val="009544CA"/>
    <w:rsid w:val="00A0158F"/>
    <w:rsid w:val="00AC07E0"/>
    <w:rsid w:val="00AC505E"/>
    <w:rsid w:val="00AF1D6E"/>
    <w:rsid w:val="00AF2A6D"/>
    <w:rsid w:val="00C67B61"/>
    <w:rsid w:val="00C74F58"/>
    <w:rsid w:val="00D01F1B"/>
    <w:rsid w:val="00D026EB"/>
    <w:rsid w:val="00DB3504"/>
    <w:rsid w:val="00E2590C"/>
    <w:rsid w:val="00E74881"/>
    <w:rsid w:val="00E82666"/>
    <w:rsid w:val="00E83890"/>
    <w:rsid w:val="00EB5E32"/>
    <w:rsid w:val="00ED3DDC"/>
    <w:rsid w:val="00F04A20"/>
    <w:rsid w:val="00F30202"/>
    <w:rsid w:val="00F4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9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92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6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0158F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tbl-cod">
    <w:name w:val="tbl-cod"/>
    <w:basedOn w:val="a"/>
    <w:uiPriority w:val="99"/>
    <w:rsid w:val="00A0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16991751">
    <w:name w:val="xfm_16991751"/>
    <w:rsid w:val="00A0158F"/>
  </w:style>
  <w:style w:type="table" w:styleId="a6">
    <w:name w:val="Table Grid"/>
    <w:basedOn w:val="a1"/>
    <w:uiPriority w:val="59"/>
    <w:rsid w:val="00A0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2022-01-20T13:29:00Z</cp:lastPrinted>
  <dcterms:created xsi:type="dcterms:W3CDTF">2023-04-05T10:29:00Z</dcterms:created>
  <dcterms:modified xsi:type="dcterms:W3CDTF">2023-04-20T09:17:00Z</dcterms:modified>
</cp:coreProperties>
</file>